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8E" w:rsidRPr="00CB1B8E" w:rsidRDefault="00CB1B8E" w:rsidP="00CB1B8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Штатная численность и укомплектованность подразделений (должностных лиц) по профилактике коррупционных и иных правонарушений.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39"/>
        <w:gridCol w:w="4848"/>
        <w:gridCol w:w="3153"/>
        <w:gridCol w:w="3153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Штатная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Фактическая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3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лиц с опытом работы в данной сфере свыше 3 лет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*</w:t>
      </w: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работа по профилактике коррупционных и иных правонарушений возложена на специалистов кадровых служб. Подразделений по профилактике коррупционных  и иных правонарушений в ОМСУ муниципального района не создано.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47"/>
        <w:gridCol w:w="1102"/>
        <w:gridCol w:w="3148"/>
        <w:gridCol w:w="3148"/>
        <w:gridCol w:w="3148"/>
      </w:tblGrid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правоохранительные органы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 (Общественной палаты Новгородской области)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32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уволено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+30%</w:t>
            </w:r>
          </w:p>
        </w:tc>
      </w:tr>
      <w:tr w:rsidR="00CB1B8E" w:rsidRPr="00CB1B8E" w:rsidTr="00CB1B8E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ограничений и запретов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по результатам проверок фактов несоблюдения: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ограничений и запретов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уволено за несоблюдение: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ограничений и запретов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95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или гражданско-правового договора в случаях, предусмотренных законодательством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 (Общественных советов органа местного самоуправления)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Выявлено 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3.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 проведенные на основе информации от: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материалов, направленных в правоохранительные органы для проведения доследственных проверок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результатам доследственных проверок: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возбужденных дел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4.          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Количество должностей служащих с высоким риском коррупционных проявлений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197"/>
        <w:gridCol w:w="4198"/>
        <w:gridCol w:w="4198"/>
      </w:tblGrid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Удельный вес должностей муниципальных служащих с высоким риском коррупционных проявлений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78%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5.          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Проверка обращений о коррупционных правонарушениях муниципальных служащих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99"/>
        <w:gridCol w:w="867"/>
        <w:gridCol w:w="2838"/>
        <w:gridCol w:w="2601"/>
        <w:gridCol w:w="3488"/>
      </w:tblGrid>
      <w:tr w:rsidR="00CB1B8E" w:rsidRPr="00CB1B8E" w:rsidTr="00CB1B8E">
        <w:tc>
          <w:tcPr>
            <w:tcW w:w="493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21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письменное обращение (почтовое)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горячая линия (телефон доверия)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личный прием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обращение через Интернет-сайт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публикации в СМИ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иное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Всего поступивших обращений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8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рассмотренных обращений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93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7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уволено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93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Количество возбужденных уголовных дел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6.          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Ответственность служащих за совершение коррупционных правонарушений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 дисциплинарной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 административной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 уголовной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 наказанием в виде штрафа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 реальным лишением свободы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7. 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Увольнение в связи с утратой доверия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099"/>
        <w:gridCol w:w="3296"/>
        <w:gridCol w:w="2704"/>
        <w:gridCol w:w="3494"/>
      </w:tblGrid>
      <w:tr w:rsidR="00CB1B8E" w:rsidRPr="00CB1B8E" w:rsidTr="00CB1B8E">
        <w:tc>
          <w:tcPr>
            <w:tcW w:w="4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CB1B8E" w:rsidRPr="00CB1B8E" w:rsidTr="00CB1B8E">
        <w:tc>
          <w:tcPr>
            <w:tcW w:w="23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следующим основания</w:t>
            </w: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непринятие работником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непредставление служащим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 xml:space="preserve">участие служащего на платной основе в деятельности органа управления коммерческой </w:t>
            </w: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организации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осуществление служащим предпринимательской деятельности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иным основаниям, указанным в законе: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8.          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Рассмотрение уведомлений служащих о фактах обращений в целях склонения их к совершению коррупционных правонарушений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8.1.        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3"/>
        <w:gridCol w:w="3153"/>
        <w:gridCol w:w="3193"/>
        <w:gridCol w:w="3114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 результатам рассмотрения: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возбуждено уголовных дел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привлечено к уголовной ответственности лиц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8.2.         Ответьте на поставленные вопросы: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Администрацией муниципального района проводятся «круглые столы» содержащие следующую тематику: «Как вести себя при попытке вымогательства взятки?», «Что делать, если у Вас вымогают взятку?», «Куда обратиться, если Вы столкнулись с попыткой вымогательства взятки?» и др.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Сайты ОМСУ муниципального района содержат общую информацию о действиях при возникновении фактов коррупционных проявлений.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9.          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Уведомление служащими представителя нанимателя об иной оплачиваемой работе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3"/>
        <w:gridCol w:w="3153"/>
        <w:gridCol w:w="3193"/>
        <w:gridCol w:w="3114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(в сравнении с предыдущим </w:t>
            </w: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полугодием)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Общее количество служащих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-8%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-8%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уволено</w:t>
            </w:r>
          </w:p>
        </w:tc>
        <w:tc>
          <w:tcPr>
            <w:tcW w:w="24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11.Антикоррупционная экспертиза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11.1.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197"/>
        <w:gridCol w:w="4198"/>
        <w:gridCol w:w="4198"/>
      </w:tblGrid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-13%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-13%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коррупциогенных факторов, выявленных в проектах нормативных правовых актов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Исключено коррупциогенных факторов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нормативных правовых актов, в отношении которых проведена антикоррупционная эспертиза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коррупциогенных факторов, выявленных в нормативных правовых автах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Исключено коррупциогенных факторов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11.2. Ответьте на поставленные вопросы: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по повышению эффективности антикоррупционной экспертизы нормативных правовых актов и их проектов?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- В соответствии с решениями Думы муниципального района и решениями Советов депутатов поселений утверждены Положения о комиссиях  данных представительных органов по проведению антикоррупционных экспертиз. Антикоррупционная экспертиза НПА и проектов НПА Думы муниципального района и Советов депутатов поселений  проводят  данные комиссии, в состав которых входят депутаты, юристы, председатель Контрольно-счетной палаты муниципального района, что повышает качество проводимых экпертиз.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Укажите, имеются ли случаи неустранения коррупциогенных факторов, выявленных в процессе антикоррупционной экспертизы (если да, то по каким причинам?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Случаев неустранения коррупциогенных факторов, выявленных в процессе антикоррупционной экспертизы, нет, ввиду неустановления таких факторов.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12.     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Независимая антикоррупционная экспертиза*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197"/>
        <w:gridCol w:w="4198"/>
        <w:gridCol w:w="4198"/>
      </w:tblGrid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* Независимая антикоррупционная экспертиза, которая проводится юридическими лицами и физическими лицами, аккредитованными Министерством юстиции Российской Федерации в качестве независимых экспертов.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13.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Профессиональная подготовка служащих, в должностные обязанности которых входит участие в противодействии коррупции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505"/>
        <w:gridCol w:w="2522"/>
        <w:gridCol w:w="2522"/>
        <w:gridCol w:w="2522"/>
        <w:gridCol w:w="2522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(в сравнении с предыдущим </w:t>
            </w: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полугодием)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Общее количество служащих, прошедших обучение в отчетный период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руководители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помощники (советники)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специалисты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обеспечивающие специалисты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каких формах проходило обучение служащих в отчетный период: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первоначальная подготовка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профессиональная переподготовка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повышение квалификации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стажировка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14.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Правовое и антикоррупционное просвещение служащих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14.1.   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конференции, круглые столы, научно-практические семинары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консультации служащих на тему антикоррупционного поведения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Иные мероприятия (укажите их количество и опишите)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14.2. Ответьте на поставленные вопросы: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Имеются ли в органах местного самоуправления стенды, отражающие актуальные вопросы профилактики и противодействия коррупции? Если да, то как часто происходит обновление информации на данных стендах?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В органах местного самоуправления муниципального района в целях профилактики и противодействия коррупции размещены стенды, отражающие вопросы профилактики и противодействия коррупции. Информация, размещенная на данных стендах, поддерживается в актуальном состоянии.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15.Взаимодействие органов местного самоуправления с институтами гражданского общества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15.1.                      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34"/>
        <w:gridCol w:w="3153"/>
        <w:gridCol w:w="3153"/>
        <w:gridCol w:w="3153"/>
      </w:tblGrid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Формы взаимодействия общественных объединений и организаций с органами государственной власти и местного самоуправления: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 xml:space="preserve">количество общественных объединений и организаций, представители которых </w:t>
            </w: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конференции, круглые столы, научно-практические семинары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заседания советов по противодействию коррупции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Иные мероприятия (укажите их количество и опишите)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7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местного самоуправления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* Данный количественный показатель указывается в скобках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15.2.                      Ответьте на поставленные вопросы: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для вовлечения общественных объединений и организаций в деятельность по профилактике и противодействию коррупции?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Парфинская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Статус организации – общественная (районная) некоммерческая.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Основные направления деятельности – защита социальных, экономических, трудовых, личных прав и свобод граждан, достигших пенсионного возраста по старости, или получающих пенсию за выслугу лет, ветеранов, улучшение их материального положения, жилищных условий, торгового, бытового, медицинского и других видов обслуживания; участие в патриотическом воспитании молодежи, передаче ей лучших традиций в труде и служении Отечеству; содействие органам местного самоуправления района в работе по надлежащему содержанию воинских захоронений, памятников и обелисков воинской Славы, создание музеев боевой и трудовой Славы.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Председатель общественной районной организации входит в состав комиссий ОМСУ по соблюдению требований к служебному поведению муниципальных служащих и урегулированию конфликта интересов, в состав экспертной рабочей группы по рассмотрению общественных инициатив, является членом общественного совета. Принимает участие в совещаниях, семинарах и «круглых столах» включающих в себя вопросы антикоррупционной направленности.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16.     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Взаимодействие органов местного самоуправления с общероссийскими средствами массовой информации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966"/>
        <w:gridCol w:w="3519"/>
        <w:gridCol w:w="3044"/>
        <w:gridCol w:w="3064"/>
      </w:tblGrid>
      <w:tr w:rsidR="00CB1B8E" w:rsidRPr="00CB1B8E" w:rsidTr="00CB1B8E">
        <w:tc>
          <w:tcPr>
            <w:tcW w:w="49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9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выступлений официальных представителей органов местного самоуправления в общероссийских средствах массовой информации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2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телепрограммах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радиопрограммах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печатных изданиях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9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2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телепрограммы, фильмы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радиопрограммы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печатные издания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социальная реклама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сайты в информационно-телекоммуникационной сети «Интернет»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иные формы распространения информации (укажите их количество и опишите)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17.       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Создание многофункциональных центров для предоставления гражданам и организациям муниципальных услуг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743"/>
        <w:gridCol w:w="3356"/>
        <w:gridCol w:w="3494"/>
      </w:tblGrid>
      <w:tr w:rsidR="00CB1B8E" w:rsidRPr="00CB1B8E" w:rsidTr="00CB1B8E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полугодием)</w:t>
            </w:r>
          </w:p>
        </w:tc>
      </w:tr>
      <w:tr w:rsidR="00CB1B8E" w:rsidRPr="00CB1B8E" w:rsidTr="00CB1B8E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Количество МФЦ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Среднее количество оказываемых одним МФЦ муниципальных услуг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Процентное соотношение оказываемых одним МФЦ муниципальных услуг к общему количеству таких услуг, оказываемых в Новгородской области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18.     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Бюджетные средства, затраченные на реализацию программ по противодействию коррупции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Внесите в таблицу количественные показатели: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59"/>
        <w:gridCol w:w="3035"/>
        <w:gridCol w:w="3331"/>
        <w:gridCol w:w="3468"/>
      </w:tblGrid>
      <w:tr w:rsidR="00CB1B8E" w:rsidRPr="00CB1B8E" w:rsidTr="00CB1B8E">
        <w:tc>
          <w:tcPr>
            <w:tcW w:w="4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Контрольные позиции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+ /– %</w:t>
            </w:r>
          </w:p>
          <w:p w:rsidR="00CB1B8E" w:rsidRPr="00CB1B8E" w:rsidRDefault="00CB1B8E" w:rsidP="00CB1B8E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(в сравнении с предыдущим годом)</w:t>
            </w:r>
          </w:p>
        </w:tc>
      </w:tr>
      <w:tr w:rsidR="00CB1B8E" w:rsidRPr="00CB1B8E" w:rsidTr="00CB1B8E">
        <w:tc>
          <w:tcPr>
            <w:tcW w:w="4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Общая сумма бюджетных средств, выделенных в 2013 году на реализацию программы по противодействию коррупции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сумма бюджетных средств, затраченных за истекший период 2013 года на реализацию программы по противодействию коррупции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CB1B8E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CB1B8E" w:rsidRPr="00CB1B8E" w:rsidTr="00CB1B8E"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B1B8E" w:rsidRPr="00CB1B8E" w:rsidRDefault="00CB1B8E" w:rsidP="00CB1B8E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20. Совершенствование работы в области противодействия коррупции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20.1.</w:t>
      </w:r>
      <w:r w:rsidRPr="00CB1B8E">
        <w:rPr>
          <w:rFonts w:ascii="Helvetica" w:eastAsia="Times New Roman" w:hAnsi="Helvetica" w:cs="Helvetica"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в отчетном периоде проведены мероприятия по совершенствованию системы учета государственного имущества области и оценки эффективности его использования?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- Отделом по управлению муниципальным имуществом Администрации муниципального района осуществляется учет муниципального имущества, а именно сформирован реестр муниципального имущества в электронном виде, постоянно ведется его обновление. Осуществляется пообъектный учет арендованного имущества в программе «Барс». Проведены проверки двух муниципальных учреждений в части целевого использования движимого и недвижимого имущества, находящегося в муниципальной собственности, закрепленного за ними на праве оперативного управления, полноту и правильность его </w:t>
      </w: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lastRenderedPageBreak/>
        <w:t>учета, ведение инвентарных карточек учета основных средств, внесение сведений в реестр муниципального имущества.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 целях повышения эффективности использования муниципального имущества свободные помещения передавались в аренду. Дано 11 согласий на предоставление в аренду помещений сроком на один день, 1 согласие – на предоставление в безвозмездное пользование нежилых помещений, расположенных в здании, которое закреплено на праве оперативного управления за муниципальным учреждением.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2 объекта имущества, находящихся в собственности муниципального района, не соответствующих требованиям статьи 50 Федерального закона «Об общих принципах организации местного самоуправления в Российской Федерации», включены в перечень имущества, планируемого к приватизации в 2013 году. Приватизация муниципального имущества будет осуществлена во втором полугодии текущего года в порядке, предусмотренном действующим законодательством.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20.2.</w:t>
      </w:r>
      <w:r w:rsidRPr="00CB1B8E">
        <w:rPr>
          <w:rFonts w:ascii="Helvetica" w:eastAsia="Times New Roman" w:hAnsi="Helvetica" w:cs="Helvetica"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принимаются меры по совершенствованию условий, процедур и механизмов государственных закупок?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Муниципальные учреждения и организации проводят открытые аукционы в электронной форме, размещают сведения о контрактах, сведения об исполнении контрактов в соответствии с Федеральным законом от 21.07.2007 №94-ФЗ «О размещении заказов на поставки товаров, выполнение работ, оказание услуг для государственных и муниципальных нужд». Ведется контроль за соблюдением процедур при закупке товаров, услуг и работ для государственных нужд.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20.3.</w:t>
      </w:r>
      <w:r w:rsidRPr="00CB1B8E">
        <w:rPr>
          <w:rFonts w:ascii="Helvetica" w:eastAsia="Times New Roman" w:hAnsi="Helvetica" w:cs="Helvetica"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существуют проблемы в деятельности подразделений (должностных лиц) по профилактике коррупционных и иных правонарушений?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Проблем в деятельности должностных лиц, ответственных за прифилактику коррупционных и иных правонарушений не возникает.</w:t>
      </w:r>
    </w:p>
    <w:p w:rsidR="00CB1B8E" w:rsidRPr="00CB1B8E" w:rsidRDefault="00CB1B8E" w:rsidP="00CB1B8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        </w:t>
      </w:r>
      <w:r w:rsidRPr="00CB1B8E">
        <w:rPr>
          <w:rFonts w:ascii="Helvetica" w:eastAsia="Times New Roman" w:hAnsi="Helvetica" w:cs="Helvetica"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20.4.</w:t>
      </w:r>
      <w:r w:rsidRPr="00CB1B8E">
        <w:rPr>
          <w:rFonts w:ascii="Helvetica" w:eastAsia="Times New Roman" w:hAnsi="Helvetica" w:cs="Helvetica"/>
          <w:color w:val="444444"/>
          <w:sz w:val="19"/>
          <w:lang w:eastAsia="ru-RU"/>
        </w:rPr>
        <w:t> </w:t>
      </w: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Какие имеются предложения по совершенствованию антикоррупционной работы в Новгородской области?</w:t>
      </w:r>
    </w:p>
    <w:p w:rsidR="00CB1B8E" w:rsidRPr="00CB1B8E" w:rsidRDefault="00CB1B8E" w:rsidP="00CB1B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B1B8E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         -  Предложений по совершенствованию антикоррупционной работы в Новгородской области нет.</w:t>
      </w:r>
    </w:p>
    <w:p w:rsidR="00E102B9" w:rsidRPr="00CB1B8E" w:rsidRDefault="00E102B9" w:rsidP="00CB1B8E"/>
    <w:sectPr w:rsidR="00E102B9" w:rsidRPr="00CB1B8E" w:rsidSect="00E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51F4"/>
    <w:rsid w:val="007451F4"/>
    <w:rsid w:val="00CB1B8E"/>
    <w:rsid w:val="00E1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F4"/>
    <w:rPr>
      <w:b/>
      <w:bCs/>
    </w:rPr>
  </w:style>
  <w:style w:type="character" w:customStyle="1" w:styleId="apple-converted-space">
    <w:name w:val="apple-converted-space"/>
    <w:basedOn w:val="a0"/>
    <w:rsid w:val="00CB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3427</Words>
  <Characters>19538</Characters>
  <Application>Microsoft Office Word</Application>
  <DocSecurity>0</DocSecurity>
  <Lines>162</Lines>
  <Paragraphs>45</Paragraphs>
  <ScaleCrop>false</ScaleCrop>
  <Company>Microsoft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2020-01-15T07:41:00Z</dcterms:created>
  <dcterms:modified xsi:type="dcterms:W3CDTF">2020-01-15T07:41:00Z</dcterms:modified>
</cp:coreProperties>
</file>