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 Заключение</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 xml:space="preserve">на проект решения Совета депутатов </w:t>
      </w:r>
      <w:proofErr w:type="spellStart"/>
      <w:r w:rsidRPr="00F0178C">
        <w:rPr>
          <w:rFonts w:ascii="Helvetica" w:eastAsia="Times New Roman" w:hAnsi="Helvetica" w:cs="Helvetica"/>
          <w:b/>
          <w:bCs/>
          <w:color w:val="444444"/>
          <w:sz w:val="16"/>
          <w:szCs w:val="16"/>
          <w:bdr w:val="none" w:sz="0" w:space="0" w:color="auto" w:frame="1"/>
          <w:lang w:eastAsia="ru-RU"/>
        </w:rPr>
        <w:t>Полавского</w:t>
      </w:r>
      <w:proofErr w:type="spellEnd"/>
      <w:r w:rsidRPr="00F0178C">
        <w:rPr>
          <w:rFonts w:ascii="Helvetica" w:eastAsia="Times New Roman" w:hAnsi="Helvetica" w:cs="Helvetica"/>
          <w:b/>
          <w:bCs/>
          <w:color w:val="444444"/>
          <w:sz w:val="16"/>
          <w:szCs w:val="16"/>
          <w:bdr w:val="none" w:sz="0" w:space="0" w:color="auto" w:frame="1"/>
          <w:lang w:eastAsia="ru-RU"/>
        </w:rPr>
        <w:t xml:space="preserve"> сельского поселения</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 xml:space="preserve">«О внесении изменений и дополнений в решение Совета депутатов </w:t>
      </w:r>
      <w:proofErr w:type="spellStart"/>
      <w:r w:rsidRPr="00F0178C">
        <w:rPr>
          <w:rFonts w:ascii="Helvetica" w:eastAsia="Times New Roman" w:hAnsi="Helvetica" w:cs="Helvetica"/>
          <w:b/>
          <w:bCs/>
          <w:color w:val="444444"/>
          <w:sz w:val="16"/>
          <w:szCs w:val="16"/>
          <w:bdr w:val="none" w:sz="0" w:space="0" w:color="auto" w:frame="1"/>
          <w:lang w:eastAsia="ru-RU"/>
        </w:rPr>
        <w:t>Полавского</w:t>
      </w:r>
      <w:proofErr w:type="spellEnd"/>
      <w:r w:rsidRPr="00F0178C">
        <w:rPr>
          <w:rFonts w:ascii="Helvetica" w:eastAsia="Times New Roman" w:hAnsi="Helvetica" w:cs="Helvetica"/>
          <w:b/>
          <w:bCs/>
          <w:color w:val="444444"/>
          <w:sz w:val="16"/>
          <w:szCs w:val="16"/>
          <w:bdr w:val="none" w:sz="0" w:space="0" w:color="auto" w:frame="1"/>
          <w:lang w:eastAsia="ru-RU"/>
        </w:rPr>
        <w:t xml:space="preserve"> сельского поселения от 06.12.2012 № 102»</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                                                                                      </w:t>
      </w:r>
      <w:r w:rsidRPr="00F0178C">
        <w:rPr>
          <w:rFonts w:ascii="Helvetica" w:eastAsia="Times New Roman" w:hAnsi="Helvetica" w:cs="Helvetica"/>
          <w:b/>
          <w:bCs/>
          <w:color w:val="444444"/>
          <w:sz w:val="16"/>
          <w:lang w:eastAsia="ru-RU"/>
        </w:rPr>
        <w:t> </w:t>
      </w:r>
      <w:r w:rsidRPr="00F0178C">
        <w:rPr>
          <w:rFonts w:ascii="Helvetica" w:eastAsia="Times New Roman" w:hAnsi="Helvetica" w:cs="Helvetica"/>
          <w:color w:val="444444"/>
          <w:sz w:val="16"/>
          <w:szCs w:val="16"/>
          <w:lang w:eastAsia="ru-RU"/>
        </w:rPr>
        <w:t>от 27 июня 2013 года</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xml:space="preserve">Заключение подготовлено в соответствии с Бюджетным кодексом РФ, Положением о Контрольно-счетной палате </w:t>
      </w:r>
      <w:proofErr w:type="spellStart"/>
      <w:r w:rsidRPr="00F0178C">
        <w:rPr>
          <w:rFonts w:ascii="Helvetica" w:eastAsia="Times New Roman" w:hAnsi="Helvetica" w:cs="Helvetica"/>
          <w:color w:val="444444"/>
          <w:sz w:val="16"/>
          <w:szCs w:val="16"/>
          <w:lang w:eastAsia="ru-RU"/>
        </w:rPr>
        <w:t>Парфинского</w:t>
      </w:r>
      <w:proofErr w:type="spellEnd"/>
      <w:r w:rsidRPr="00F0178C">
        <w:rPr>
          <w:rFonts w:ascii="Helvetica" w:eastAsia="Times New Roman" w:hAnsi="Helvetica" w:cs="Helvetica"/>
          <w:color w:val="444444"/>
          <w:sz w:val="16"/>
          <w:szCs w:val="16"/>
          <w:lang w:eastAsia="ru-RU"/>
        </w:rPr>
        <w:t xml:space="preserve"> муниципального района, утверждённым Решением Думы муниципального района от 30.11.2011 № 78, соглашением о передаче полномочий по осуществлению внешнего муниципального финансового контроля от 21.12.2012 г. № 3.</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xml:space="preserve">Представленным на экспертизу проектом решения Совета депутатов </w:t>
      </w:r>
      <w:proofErr w:type="spellStart"/>
      <w:r w:rsidRPr="00F0178C">
        <w:rPr>
          <w:rFonts w:ascii="Helvetica" w:eastAsia="Times New Roman" w:hAnsi="Helvetica" w:cs="Helvetica"/>
          <w:color w:val="444444"/>
          <w:sz w:val="16"/>
          <w:szCs w:val="16"/>
          <w:lang w:eastAsia="ru-RU"/>
        </w:rPr>
        <w:t>Полавского</w:t>
      </w:r>
      <w:proofErr w:type="spellEnd"/>
      <w:r w:rsidRPr="00F0178C">
        <w:rPr>
          <w:rFonts w:ascii="Helvetica" w:eastAsia="Times New Roman" w:hAnsi="Helvetica" w:cs="Helvetica"/>
          <w:color w:val="444444"/>
          <w:sz w:val="16"/>
          <w:szCs w:val="16"/>
          <w:lang w:eastAsia="ru-RU"/>
        </w:rPr>
        <w:t xml:space="preserve"> сельского поселения (далее – Решение), предлагается внести изменения и дополнения в  бюджет сельского поселения, утвержденный решением Совета депутатов сельского поселения от 06.12.2012 № 102 «О бюджете </w:t>
      </w:r>
      <w:proofErr w:type="spellStart"/>
      <w:r w:rsidRPr="00F0178C">
        <w:rPr>
          <w:rFonts w:ascii="Helvetica" w:eastAsia="Times New Roman" w:hAnsi="Helvetica" w:cs="Helvetica"/>
          <w:color w:val="444444"/>
          <w:sz w:val="16"/>
          <w:szCs w:val="16"/>
          <w:lang w:eastAsia="ru-RU"/>
        </w:rPr>
        <w:t>Полавского</w:t>
      </w:r>
      <w:proofErr w:type="spellEnd"/>
      <w:r w:rsidRPr="00F0178C">
        <w:rPr>
          <w:rFonts w:ascii="Helvetica" w:eastAsia="Times New Roman" w:hAnsi="Helvetica" w:cs="Helvetica"/>
          <w:color w:val="444444"/>
          <w:sz w:val="16"/>
          <w:szCs w:val="16"/>
          <w:lang w:eastAsia="ru-RU"/>
        </w:rPr>
        <w:t xml:space="preserve"> сельского поселения на 2013 год и на плановый период 2014 и 2015 годов».</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Согласно проекту Решения</w:t>
      </w:r>
      <w:r w:rsidRPr="00F0178C">
        <w:rPr>
          <w:rFonts w:ascii="Helvetica" w:eastAsia="Times New Roman" w:hAnsi="Helvetica" w:cs="Helvetica"/>
          <w:b/>
          <w:bCs/>
          <w:color w:val="444444"/>
          <w:sz w:val="16"/>
          <w:lang w:eastAsia="ru-RU"/>
        </w:rPr>
        <w:t> </w:t>
      </w:r>
      <w:r w:rsidRPr="00F0178C">
        <w:rPr>
          <w:rFonts w:ascii="Helvetica" w:eastAsia="Times New Roman" w:hAnsi="Helvetica" w:cs="Helvetica"/>
          <w:color w:val="444444"/>
          <w:sz w:val="16"/>
          <w:szCs w:val="16"/>
          <w:lang w:eastAsia="ru-RU"/>
        </w:rPr>
        <w:t>изменятся основные параметры  бюджета на 2013    год:</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доходную часть бюджета сельского поселения планируется  увеличить на 136,0 тыс. рублей  и утвердить в объеме 20795,7 тыс. рублей;</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расходную часть  бюджета сельского поселения планируется увеличить на 338,0 тыс. рублей и утвердить в объеме 22247,4 тыс. рублей</w:t>
      </w:r>
      <w:r w:rsidRPr="00F0178C">
        <w:rPr>
          <w:rFonts w:ascii="Helvetica" w:eastAsia="Times New Roman" w:hAnsi="Helvetica" w:cs="Helvetica"/>
          <w:b/>
          <w:bCs/>
          <w:color w:val="444444"/>
          <w:sz w:val="16"/>
          <w:szCs w:val="16"/>
          <w:bdr w:val="none" w:sz="0" w:space="0" w:color="auto" w:frame="1"/>
          <w:lang w:eastAsia="ru-RU"/>
        </w:rPr>
        <w:t>.                                                </w:t>
      </w:r>
      <w:r w:rsidRPr="00F0178C">
        <w:rPr>
          <w:rFonts w:ascii="Helvetica" w:eastAsia="Times New Roman" w:hAnsi="Helvetica" w:cs="Helvetica"/>
          <w:b/>
          <w:bCs/>
          <w:color w:val="444444"/>
          <w:sz w:val="16"/>
          <w:lang w:eastAsia="ru-RU"/>
        </w:rPr>
        <w:t> </w:t>
      </w:r>
      <w:r w:rsidRPr="00F0178C">
        <w:rPr>
          <w:rFonts w:ascii="Helvetica" w:eastAsia="Times New Roman" w:hAnsi="Helvetica" w:cs="Helvetica"/>
          <w:color w:val="444444"/>
          <w:sz w:val="16"/>
          <w:szCs w:val="16"/>
          <w:lang w:eastAsia="ru-RU"/>
        </w:rPr>
        <w:t> </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дефицит бюджета  предлагается увеличить на 202,0 тыс. рублей и утвердить в сумме 1451,7 тыс. рублей.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Согласно пункту 3 статьи 92.1 Бюджетного Кодекса РФ дефицит бюджета поселения  не должен превышать 10 процентов утвержденного общего годового объема доходов бюджета без учета утвержденного объема безвозмездных поступлений. В нашем случае дефицит бюджета составит 101,4 %  (1451,7/1431,3*100), источником покрытия которого являются остатки средств на счете по учету средств бюджета поселения (на 01.01.2013г. – 1482,2 тыс. рублей). Таким образом, имеется источник покрытия дефицита, в связи с этим дефицит бюджета поселения не нарушает ограничения, установленные пунктом 3 статьи. 92.1 Бюджетного Кодекса РФ.</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Основные характеристики бюджета поселения</w:t>
      </w:r>
    </w:p>
    <w:p w:rsidR="00F0178C" w:rsidRPr="00F0178C" w:rsidRDefault="00F0178C" w:rsidP="00F0178C">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1471"/>
        <w:gridCol w:w="1534"/>
        <w:gridCol w:w="1630"/>
        <w:gridCol w:w="1472"/>
        <w:gridCol w:w="934"/>
        <w:gridCol w:w="1282"/>
        <w:gridCol w:w="1108"/>
        <w:gridCol w:w="1248"/>
      </w:tblGrid>
      <w:tr w:rsidR="00F0178C" w:rsidRPr="00F0178C" w:rsidTr="00F0178C">
        <w:tc>
          <w:tcPr>
            <w:tcW w:w="139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proofErr w:type="spellStart"/>
            <w:r w:rsidRPr="00F0178C">
              <w:rPr>
                <w:rFonts w:ascii="Helvetica" w:eastAsia="Times New Roman" w:hAnsi="Helvetica" w:cs="Helvetica"/>
                <w:color w:val="444444"/>
                <w:sz w:val="16"/>
                <w:szCs w:val="16"/>
                <w:lang w:eastAsia="ru-RU"/>
              </w:rPr>
              <w:t>Наименова-ние</w:t>
            </w:r>
            <w:proofErr w:type="spellEnd"/>
          </w:p>
        </w:tc>
        <w:tc>
          <w:tcPr>
            <w:tcW w:w="145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proofErr w:type="spellStart"/>
            <w:r w:rsidRPr="00F0178C">
              <w:rPr>
                <w:rFonts w:ascii="Helvetica" w:eastAsia="Times New Roman" w:hAnsi="Helvetica" w:cs="Helvetica"/>
                <w:color w:val="444444"/>
                <w:sz w:val="16"/>
                <w:szCs w:val="16"/>
                <w:lang w:eastAsia="ru-RU"/>
              </w:rPr>
              <w:t>Первоначаль-ные</w:t>
            </w:r>
            <w:proofErr w:type="spellEnd"/>
            <w:r w:rsidRPr="00F0178C">
              <w:rPr>
                <w:rFonts w:ascii="Helvetica" w:eastAsia="Times New Roman" w:hAnsi="Helvetica" w:cs="Helvetica"/>
                <w:color w:val="444444"/>
                <w:sz w:val="16"/>
                <w:szCs w:val="16"/>
                <w:lang w:eastAsia="ru-RU"/>
              </w:rPr>
              <w:t xml:space="preserve"> бюджетные назначения</w:t>
            </w:r>
          </w:p>
        </w:tc>
        <w:tc>
          <w:tcPr>
            <w:tcW w:w="154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proofErr w:type="spellStart"/>
            <w:r w:rsidRPr="00F0178C">
              <w:rPr>
                <w:rFonts w:ascii="Helvetica" w:eastAsia="Times New Roman" w:hAnsi="Helvetica" w:cs="Helvetica"/>
                <w:color w:val="444444"/>
                <w:sz w:val="16"/>
                <w:szCs w:val="16"/>
                <w:lang w:eastAsia="ru-RU"/>
              </w:rPr>
              <w:t>Утвержден-ный</w:t>
            </w:r>
            <w:proofErr w:type="spellEnd"/>
            <w:r w:rsidRPr="00F0178C">
              <w:rPr>
                <w:rFonts w:ascii="Helvetica" w:eastAsia="Times New Roman" w:hAnsi="Helvetica" w:cs="Helvetica"/>
                <w:color w:val="444444"/>
                <w:sz w:val="16"/>
                <w:szCs w:val="16"/>
                <w:lang w:eastAsia="ru-RU"/>
              </w:rPr>
              <w:t xml:space="preserve"> бюджет</w:t>
            </w:r>
          </w:p>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В ред. от 30.04.2013 № 129</w:t>
            </w:r>
          </w:p>
        </w:tc>
        <w:tc>
          <w:tcPr>
            <w:tcW w:w="139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proofErr w:type="spellStart"/>
            <w:r w:rsidRPr="00F0178C">
              <w:rPr>
                <w:rFonts w:ascii="Helvetica" w:eastAsia="Times New Roman" w:hAnsi="Helvetica" w:cs="Helvetica"/>
                <w:color w:val="444444"/>
                <w:sz w:val="16"/>
                <w:szCs w:val="16"/>
                <w:lang w:eastAsia="ru-RU"/>
              </w:rPr>
              <w:t>Предлага-емый</w:t>
            </w:r>
            <w:proofErr w:type="spellEnd"/>
            <w:r w:rsidRPr="00F0178C">
              <w:rPr>
                <w:rFonts w:ascii="Helvetica" w:eastAsia="Times New Roman" w:hAnsi="Helvetica" w:cs="Helvetica"/>
                <w:color w:val="444444"/>
                <w:sz w:val="16"/>
                <w:szCs w:val="16"/>
                <w:lang w:eastAsia="ru-RU"/>
              </w:rPr>
              <w:t xml:space="preserve"> проект решения</w:t>
            </w:r>
          </w:p>
        </w:tc>
        <w:tc>
          <w:tcPr>
            <w:tcW w:w="4245" w:type="dxa"/>
            <w:gridSpan w:val="4"/>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отклонения</w:t>
            </w:r>
          </w:p>
        </w:tc>
      </w:tr>
      <w:tr w:rsidR="00F0178C" w:rsidRPr="00F0178C" w:rsidTr="00F0178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210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проекта решения от первоначального бюджета</w:t>
            </w:r>
          </w:p>
        </w:tc>
        <w:tc>
          <w:tcPr>
            <w:tcW w:w="216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проекта решения от утвержденного бюджета</w:t>
            </w:r>
          </w:p>
        </w:tc>
      </w:tr>
      <w:tr w:rsidR="00F0178C" w:rsidRPr="00F0178C" w:rsidTr="00F0178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0178C" w:rsidRPr="00F0178C" w:rsidRDefault="00F0178C" w:rsidP="00F0178C">
            <w:pPr>
              <w:spacing w:after="0" w:line="240" w:lineRule="auto"/>
              <w:rPr>
                <w:rFonts w:ascii="Helvetica" w:eastAsia="Times New Roman" w:hAnsi="Helvetica" w:cs="Helvetica"/>
                <w:color w:val="444444"/>
                <w:sz w:val="16"/>
                <w:szCs w:val="16"/>
                <w:lang w:eastAsia="ru-RU"/>
              </w:rPr>
            </w:pPr>
          </w:p>
        </w:tc>
        <w:tc>
          <w:tcPr>
            <w:tcW w:w="8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xml:space="preserve">сумма (гр4- </w:t>
            </w:r>
            <w:r w:rsidRPr="00F0178C">
              <w:rPr>
                <w:rFonts w:ascii="Helvetica" w:eastAsia="Times New Roman" w:hAnsi="Helvetica" w:cs="Helvetica"/>
                <w:color w:val="444444"/>
                <w:sz w:val="16"/>
                <w:szCs w:val="16"/>
                <w:lang w:eastAsia="ru-RU"/>
              </w:rPr>
              <w:lastRenderedPageBreak/>
              <w:t>гр.2)</w:t>
            </w:r>
          </w:p>
        </w:tc>
        <w:tc>
          <w:tcPr>
            <w:tcW w:w="12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lastRenderedPageBreak/>
              <w:t>% (гр4/гр2*100)</w:t>
            </w:r>
          </w:p>
        </w:tc>
        <w:tc>
          <w:tcPr>
            <w:tcW w:w="105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сумма (гр4- гр.3)</w:t>
            </w:r>
          </w:p>
        </w:tc>
        <w:tc>
          <w:tcPr>
            <w:tcW w:w="109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(гр4/гр3*100)</w:t>
            </w:r>
          </w:p>
        </w:tc>
      </w:tr>
      <w:tr w:rsidR="00F0178C" w:rsidRPr="00F0178C" w:rsidTr="00F0178C">
        <w:tc>
          <w:tcPr>
            <w:tcW w:w="13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lastRenderedPageBreak/>
              <w:t>1</w:t>
            </w:r>
          </w:p>
        </w:tc>
        <w:tc>
          <w:tcPr>
            <w:tcW w:w="145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w:t>
            </w:r>
          </w:p>
        </w:tc>
        <w:tc>
          <w:tcPr>
            <w:tcW w:w="154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3</w:t>
            </w:r>
          </w:p>
        </w:tc>
        <w:tc>
          <w:tcPr>
            <w:tcW w:w="13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4</w:t>
            </w:r>
          </w:p>
        </w:tc>
        <w:tc>
          <w:tcPr>
            <w:tcW w:w="88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5</w:t>
            </w:r>
          </w:p>
        </w:tc>
        <w:tc>
          <w:tcPr>
            <w:tcW w:w="121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6</w:t>
            </w:r>
          </w:p>
        </w:tc>
        <w:tc>
          <w:tcPr>
            <w:tcW w:w="105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7</w:t>
            </w:r>
          </w:p>
        </w:tc>
        <w:tc>
          <w:tcPr>
            <w:tcW w:w="10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8</w:t>
            </w:r>
          </w:p>
        </w:tc>
      </w:tr>
      <w:tr w:rsidR="00F0178C" w:rsidRPr="00F0178C" w:rsidTr="00F0178C">
        <w:tc>
          <w:tcPr>
            <w:tcW w:w="13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0" w:line="161" w:lineRule="atLeast"/>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доходы</w:t>
            </w:r>
          </w:p>
        </w:tc>
        <w:tc>
          <w:tcPr>
            <w:tcW w:w="145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18593,7</w:t>
            </w:r>
          </w:p>
        </w:tc>
        <w:tc>
          <w:tcPr>
            <w:tcW w:w="154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20659,7</w:t>
            </w:r>
          </w:p>
        </w:tc>
        <w:tc>
          <w:tcPr>
            <w:tcW w:w="13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20795,7</w:t>
            </w:r>
          </w:p>
        </w:tc>
        <w:tc>
          <w:tcPr>
            <w:tcW w:w="88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2202,0</w:t>
            </w:r>
          </w:p>
        </w:tc>
        <w:tc>
          <w:tcPr>
            <w:tcW w:w="121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111,8</w:t>
            </w:r>
          </w:p>
        </w:tc>
        <w:tc>
          <w:tcPr>
            <w:tcW w:w="10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136,0</w:t>
            </w:r>
          </w:p>
        </w:tc>
        <w:tc>
          <w:tcPr>
            <w:tcW w:w="10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100,7</w:t>
            </w:r>
          </w:p>
        </w:tc>
      </w:tr>
      <w:tr w:rsidR="00F0178C" w:rsidRPr="00F0178C" w:rsidTr="00F0178C">
        <w:tc>
          <w:tcPr>
            <w:tcW w:w="13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0" w:line="161" w:lineRule="atLeast"/>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расходы</w:t>
            </w:r>
          </w:p>
        </w:tc>
        <w:tc>
          <w:tcPr>
            <w:tcW w:w="145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19230,0</w:t>
            </w:r>
          </w:p>
        </w:tc>
        <w:tc>
          <w:tcPr>
            <w:tcW w:w="154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21909,4</w:t>
            </w:r>
          </w:p>
        </w:tc>
        <w:tc>
          <w:tcPr>
            <w:tcW w:w="13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22247,4</w:t>
            </w:r>
          </w:p>
        </w:tc>
        <w:tc>
          <w:tcPr>
            <w:tcW w:w="88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3017,4</w:t>
            </w:r>
          </w:p>
        </w:tc>
        <w:tc>
          <w:tcPr>
            <w:tcW w:w="121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115,7</w:t>
            </w:r>
          </w:p>
        </w:tc>
        <w:tc>
          <w:tcPr>
            <w:tcW w:w="105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338,0</w:t>
            </w:r>
          </w:p>
        </w:tc>
        <w:tc>
          <w:tcPr>
            <w:tcW w:w="109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101,5</w:t>
            </w:r>
          </w:p>
        </w:tc>
      </w:tr>
      <w:tr w:rsidR="00F0178C" w:rsidRPr="00F0178C" w:rsidTr="00F0178C">
        <w:tc>
          <w:tcPr>
            <w:tcW w:w="13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0" w:line="161" w:lineRule="atLeast"/>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дефицит(-)</w:t>
            </w:r>
          </w:p>
        </w:tc>
        <w:tc>
          <w:tcPr>
            <w:tcW w:w="145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-636,7</w:t>
            </w:r>
          </w:p>
        </w:tc>
        <w:tc>
          <w:tcPr>
            <w:tcW w:w="154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-1249,7</w:t>
            </w:r>
          </w:p>
        </w:tc>
        <w:tc>
          <w:tcPr>
            <w:tcW w:w="13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-1451,7</w:t>
            </w:r>
          </w:p>
        </w:tc>
        <w:tc>
          <w:tcPr>
            <w:tcW w:w="88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815,0</w:t>
            </w:r>
          </w:p>
        </w:tc>
        <w:tc>
          <w:tcPr>
            <w:tcW w:w="121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В 2,2 раза</w:t>
            </w:r>
          </w:p>
        </w:tc>
        <w:tc>
          <w:tcPr>
            <w:tcW w:w="10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202,0</w:t>
            </w:r>
          </w:p>
        </w:tc>
        <w:tc>
          <w:tcPr>
            <w:tcW w:w="109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0178C" w:rsidRPr="00F0178C" w:rsidRDefault="00F0178C" w:rsidP="00F0178C">
            <w:pPr>
              <w:spacing w:after="240" w:line="360" w:lineRule="atLeast"/>
              <w:jc w:val="righ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116,2</w:t>
            </w:r>
          </w:p>
        </w:tc>
      </w:tr>
    </w:tbl>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Доходная часть бюджета поселения по сравнению первоначальным бюджетом увеличилась на 11,8 процента, а расходная на 15,7 процента. Данный факт свидетельствует о том, что темпы роста расходов бюджета поселения опережают темпы роста доходов, что привело к увеличению дефицита бюджета в 2,2 раза.</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Увеличение доходной части бюджета поселения  планируется за счет выделения субсидий и субвенций из бюджета муниципального района в объеме</w:t>
      </w:r>
      <w:r w:rsidRPr="00F0178C">
        <w:rPr>
          <w:rFonts w:ascii="Helvetica" w:eastAsia="Times New Roman" w:hAnsi="Helvetica" w:cs="Helvetica"/>
          <w:color w:val="444444"/>
          <w:sz w:val="16"/>
          <w:lang w:eastAsia="ru-RU"/>
        </w:rPr>
        <w:t> </w:t>
      </w:r>
      <w:r w:rsidRPr="00F0178C">
        <w:rPr>
          <w:rFonts w:ascii="Helvetica" w:eastAsia="Times New Roman" w:hAnsi="Helvetica" w:cs="Helvetica"/>
          <w:b/>
          <w:bCs/>
          <w:color w:val="444444"/>
          <w:sz w:val="16"/>
          <w:szCs w:val="16"/>
          <w:bdr w:val="none" w:sz="0" w:space="0" w:color="auto" w:frame="1"/>
          <w:lang w:eastAsia="ru-RU"/>
        </w:rPr>
        <w:t>136,0 тыс. рублей</w:t>
      </w:r>
      <w:r w:rsidRPr="00F0178C">
        <w:rPr>
          <w:rFonts w:ascii="Helvetica" w:eastAsia="Times New Roman" w:hAnsi="Helvetica" w:cs="Helvetica"/>
          <w:color w:val="444444"/>
          <w:sz w:val="16"/>
          <w:szCs w:val="16"/>
          <w:lang w:eastAsia="ru-RU"/>
        </w:rPr>
        <w:t>, в том числе:</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 53,4 тыс. рублей;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-субсидии бюджетам поселений на организацию семинаров, стажировки, профессиональной подготовки, курсов повышения квалификации выборных должностных лиц, служащих и муниципальных служащих Новгородской области в рамках реализации долгосрочной областной целевой программы «Государственная поддержка развития местного самоуправления   в Новгородской области на 2012-2014 годы» (наименование субвенции в Приложении 1 не соответствует областному закону об областном бюджете и решению о бюджете муниципального района, следует внести необходимые  изменения)  - 7,9 тыс. рублей;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субсидии бюджетам поселений  на организацию проведения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 в рамках долгосрочной целевой программы « Государственная поддержка развития местного самоуправления   в Новгородской области на 2012-2014 годы»- 70,4 тыс. рублей;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 – 4,3 тыс. рулей.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Увеличение доходной части бюджета поселения повлекло увеличение расходной части по соответствующим разделам бюджетной классификации на 136, тыс. рублей. Кроме, того планируется увеличение расходов бюджета за счет остатков средств на счете по учету средств бюджета поселения в сумме 202,0 тыс. рублей, из этой суммы 80,0 процентов или 161,7 тыс. рублей средств планируется направить на расходы по разделу «Общегосударственные вопросы».</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Удельный вес условно утверждаемых расходов (расходов, распределение которых будет производиться к началу каждого года планового периода 2014 и 2015 годов) не противоречит требованиям статьи 184.1 Бюджетного кодекса Российской Федерации. Предельные размеры резервных средств,  определенные бюджетным законодательством соблюдены.</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lastRenderedPageBreak/>
        <w:t> </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Выводы</w:t>
      </w:r>
    </w:p>
    <w:p w:rsidR="00F0178C" w:rsidRPr="00F0178C" w:rsidRDefault="00F0178C" w:rsidP="00F0178C">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 </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xml:space="preserve">          Представленный на рассмотрение проект решения соответствует требованиям законодательства, определенным Бюджетным кодексом РФ, Положением о бюджетном процессе в </w:t>
      </w:r>
      <w:proofErr w:type="spellStart"/>
      <w:r w:rsidRPr="00F0178C">
        <w:rPr>
          <w:rFonts w:ascii="Helvetica" w:eastAsia="Times New Roman" w:hAnsi="Helvetica" w:cs="Helvetica"/>
          <w:color w:val="444444"/>
          <w:sz w:val="16"/>
          <w:szCs w:val="16"/>
          <w:lang w:eastAsia="ru-RU"/>
        </w:rPr>
        <w:t>Полавском</w:t>
      </w:r>
      <w:proofErr w:type="spellEnd"/>
      <w:r w:rsidRPr="00F0178C">
        <w:rPr>
          <w:rFonts w:ascii="Helvetica" w:eastAsia="Times New Roman" w:hAnsi="Helvetica" w:cs="Helvetica"/>
          <w:color w:val="444444"/>
          <w:sz w:val="16"/>
          <w:szCs w:val="16"/>
          <w:lang w:eastAsia="ru-RU"/>
        </w:rPr>
        <w:t xml:space="preserve"> сельском поселении. Контрольно-счетная палата муниципального района считает возможным предложить Совету депутатов сельского поселения рассматривать проект решения с учетом внесенных предложений.</w:t>
      </w:r>
    </w:p>
    <w:p w:rsidR="00F0178C" w:rsidRPr="00F0178C" w:rsidRDefault="00F0178C" w:rsidP="00F0178C">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color w:val="444444"/>
          <w:sz w:val="16"/>
          <w:szCs w:val="16"/>
          <w:lang w:eastAsia="ru-RU"/>
        </w:rPr>
        <w:t> </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Председатель Контрольно-счетной</w:t>
      </w:r>
    </w:p>
    <w:p w:rsidR="00F0178C" w:rsidRPr="00F0178C" w:rsidRDefault="00F0178C" w:rsidP="00F0178C">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0178C">
        <w:rPr>
          <w:rFonts w:ascii="Helvetica" w:eastAsia="Times New Roman" w:hAnsi="Helvetica" w:cs="Helvetica"/>
          <w:b/>
          <w:bCs/>
          <w:color w:val="444444"/>
          <w:sz w:val="16"/>
          <w:szCs w:val="16"/>
          <w:bdr w:val="none" w:sz="0" w:space="0" w:color="auto" w:frame="1"/>
          <w:lang w:eastAsia="ru-RU"/>
        </w:rPr>
        <w:t>палаты    муниципального района                                     Е.В. Сорокина</w:t>
      </w:r>
    </w:p>
    <w:p w:rsidR="002F0C19" w:rsidRPr="00F0178C" w:rsidRDefault="002F0C19" w:rsidP="00F0178C"/>
    <w:sectPr w:rsidR="002F0C19" w:rsidRPr="00F0178C"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675D8"/>
    <w:rsid w:val="000675D8"/>
    <w:rsid w:val="002F0C19"/>
    <w:rsid w:val="00A536A9"/>
    <w:rsid w:val="00F0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75D8"/>
  </w:style>
</w:styles>
</file>

<file path=word/webSettings.xml><?xml version="1.0" encoding="utf-8"?>
<w:webSettings xmlns:r="http://schemas.openxmlformats.org/officeDocument/2006/relationships" xmlns:w="http://schemas.openxmlformats.org/wordprocessingml/2006/main">
  <w:divs>
    <w:div w:id="1476333347">
      <w:bodyDiv w:val="1"/>
      <w:marLeft w:val="0"/>
      <w:marRight w:val="0"/>
      <w:marTop w:val="0"/>
      <w:marBottom w:val="0"/>
      <w:divBdr>
        <w:top w:val="none" w:sz="0" w:space="0" w:color="auto"/>
        <w:left w:val="none" w:sz="0" w:space="0" w:color="auto"/>
        <w:bottom w:val="none" w:sz="0" w:space="0" w:color="auto"/>
        <w:right w:val="none" w:sz="0" w:space="0" w:color="auto"/>
      </w:divBdr>
    </w:div>
    <w:div w:id="1503282166">
      <w:bodyDiv w:val="1"/>
      <w:marLeft w:val="0"/>
      <w:marRight w:val="0"/>
      <w:marTop w:val="0"/>
      <w:marBottom w:val="0"/>
      <w:divBdr>
        <w:top w:val="none" w:sz="0" w:space="0" w:color="auto"/>
        <w:left w:val="none" w:sz="0" w:space="0" w:color="auto"/>
        <w:bottom w:val="none" w:sz="0" w:space="0" w:color="auto"/>
        <w:right w:val="none" w:sz="0" w:space="0" w:color="auto"/>
      </w:divBdr>
    </w:div>
    <w:div w:id="19441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2019-11-21T08:54:00Z</dcterms:created>
  <dcterms:modified xsi:type="dcterms:W3CDTF">2019-11-21T08:54:00Z</dcterms:modified>
</cp:coreProperties>
</file>