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75" w:rsidRPr="004F3575" w:rsidRDefault="004F3575" w:rsidP="004F3575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4F357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 xml:space="preserve">Заключение на проект решения Думы </w:t>
      </w:r>
      <w:proofErr w:type="spellStart"/>
      <w:r w:rsidRPr="004F357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Парфинского</w:t>
      </w:r>
      <w:proofErr w:type="spellEnd"/>
      <w:r w:rsidRPr="004F357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 xml:space="preserve"> муниципального района «О внесении изменений  и дополнений в решение Думы </w:t>
      </w:r>
      <w:proofErr w:type="spellStart"/>
      <w:r w:rsidRPr="004F357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Парфинского</w:t>
      </w:r>
      <w:proofErr w:type="spellEnd"/>
      <w:r w:rsidRPr="004F357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 xml:space="preserve"> муниципального района от  14.12.2011№ 86»</w:t>
      </w:r>
    </w:p>
    <w:p w:rsidR="004F3575" w:rsidRPr="004F3575" w:rsidRDefault="004F3575" w:rsidP="004F3575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4F357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4F3575" w:rsidRPr="004F3575" w:rsidRDefault="004F3575" w:rsidP="004F3575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4F357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Заключение подготовлено в соответствии с Бюджетным кодексом РФ, Положением о Контрольно-счетной палате </w:t>
      </w:r>
      <w:proofErr w:type="spellStart"/>
      <w:r w:rsidRPr="004F357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4F357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муниципального района, утверждённым Решением Думы муниципального района от 30.11.2011 № 78, Положением о бюджетном процессе в </w:t>
      </w:r>
      <w:proofErr w:type="spellStart"/>
      <w:r w:rsidRPr="004F357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Парфинском</w:t>
      </w:r>
      <w:proofErr w:type="spellEnd"/>
      <w:r w:rsidRPr="004F357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муниципальном районе, утверждённым Решением Думы муниципального района от 18 декабря 2008 года N 317.</w:t>
      </w:r>
    </w:p>
    <w:p w:rsidR="004F3575" w:rsidRPr="004F3575" w:rsidRDefault="004F3575" w:rsidP="004F3575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4F357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Представленным на экспертизу проектом решения Думы  муниципального района, предлагается внести изменения и дополнения в  бюджет муниципального района, утвержденный решением Думы муниципального района от 14.12.2011 № 86 «О бюджете </w:t>
      </w:r>
      <w:proofErr w:type="spellStart"/>
      <w:r w:rsidRPr="004F357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4F357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   муниципального района на 2012 год и на плановый период 2013 и 2014 годов».</w:t>
      </w:r>
    </w:p>
    <w:p w:rsidR="004F3575" w:rsidRPr="004F3575" w:rsidRDefault="004F3575" w:rsidP="004F3575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4F357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Согласно проекту Решения</w:t>
      </w:r>
      <w:r w:rsidRPr="004F3575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  <w:r w:rsidRPr="004F357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изменятся основные параметры  бюджета на 2012    год:</w:t>
      </w:r>
    </w:p>
    <w:p w:rsidR="004F3575" w:rsidRPr="004F3575" w:rsidRDefault="004F3575" w:rsidP="004F3575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4F357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доходная часть бюджета на 2012 год увеличивается на 8924,5 тыс. рублей составит 331724,4 тыс. рублей;</w:t>
      </w:r>
    </w:p>
    <w:p w:rsidR="004F3575" w:rsidRPr="004F3575" w:rsidRDefault="004F3575" w:rsidP="004F3575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4F357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расходы бюджета  увеличатся на 8601,0 тыс. рублей и составят 345263,3  тыс. рублей</w:t>
      </w:r>
      <w:r w:rsidRPr="004F357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;                                                </w:t>
      </w:r>
    </w:p>
    <w:p w:rsidR="004F3575" w:rsidRPr="004F3575" w:rsidRDefault="004F3575" w:rsidP="004F3575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4F357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дефицит бюджета уменьшится 323,5 тыс. руб. и составит  13538,9 тыс.       рублей.</w:t>
      </w:r>
    </w:p>
    <w:p w:rsidR="004F3575" w:rsidRPr="004F3575" w:rsidRDefault="004F3575" w:rsidP="004F3575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4F357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   </w:t>
      </w:r>
      <w:r w:rsidRPr="004F3575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  <w:r w:rsidRPr="004F357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        Изменение показателей бюджета муниципального района на 2012 год  характеризуются следующими данными:</w:t>
      </w:r>
    </w:p>
    <w:p w:rsidR="004F3575" w:rsidRPr="004F3575" w:rsidRDefault="004F3575" w:rsidP="004F3575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4F357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Таблица 1</w:t>
      </w:r>
    </w:p>
    <w:p w:rsidR="004F3575" w:rsidRPr="004F3575" w:rsidRDefault="004F3575" w:rsidP="004F3575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4F357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   </w:t>
      </w:r>
      <w:r w:rsidRPr="004F357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тыс. рублей</w:t>
      </w:r>
    </w:p>
    <w:tbl>
      <w:tblPr>
        <w:tblW w:w="10679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535"/>
        <w:gridCol w:w="1516"/>
        <w:gridCol w:w="1958"/>
        <w:gridCol w:w="1388"/>
        <w:gridCol w:w="923"/>
        <w:gridCol w:w="894"/>
        <w:gridCol w:w="957"/>
        <w:gridCol w:w="1272"/>
        <w:gridCol w:w="236"/>
      </w:tblGrid>
      <w:tr w:rsidR="004F3575" w:rsidRPr="004F3575" w:rsidTr="004F3575">
        <w:tc>
          <w:tcPr>
            <w:tcW w:w="180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Первоначальные бюджетные назначения</w:t>
            </w:r>
          </w:p>
        </w:tc>
        <w:tc>
          <w:tcPr>
            <w:tcW w:w="14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Предлагаемый проект решения</w:t>
            </w:r>
          </w:p>
        </w:tc>
        <w:tc>
          <w:tcPr>
            <w:tcW w:w="4320" w:type="dxa"/>
            <w:gridSpan w:val="4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                   Отклонения</w:t>
            </w:r>
          </w:p>
        </w:tc>
        <w:tc>
          <w:tcPr>
            <w:tcW w:w="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4F3575" w:rsidRPr="004F3575" w:rsidTr="004F3575">
        <w:trPr>
          <w:trHeight w:val="1155"/>
        </w:trPr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4F3575" w:rsidRPr="004F3575" w:rsidRDefault="004F3575" w:rsidP="004F357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4F3575" w:rsidRPr="004F3575" w:rsidRDefault="004F3575" w:rsidP="004F357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proofErr w:type="spellStart"/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Утвержденныйбюджет</w:t>
            </w:r>
            <w:proofErr w:type="spellEnd"/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 (ред.25.01.2012г.)</w:t>
            </w: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проекта решения от первоначального бюджета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проекта решения от утвержденного бюджета (25.01.2012)</w:t>
            </w:r>
          </w:p>
        </w:tc>
        <w:tc>
          <w:tcPr>
            <w:tcW w:w="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4F3575" w:rsidRPr="004F3575" w:rsidTr="004F3575">
        <w:trPr>
          <w:trHeight w:val="255"/>
        </w:trPr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4F3575" w:rsidRPr="004F3575" w:rsidRDefault="004F3575" w:rsidP="004F357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4F3575" w:rsidRPr="004F3575" w:rsidRDefault="004F3575" w:rsidP="004F357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4F3575" w:rsidRPr="004F3575" w:rsidRDefault="004F3575" w:rsidP="004F357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4F3575" w:rsidRPr="004F3575" w:rsidRDefault="004F3575" w:rsidP="004F357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Сумма (гр.4-гр.2)</w:t>
            </w:r>
          </w:p>
        </w:tc>
        <w:tc>
          <w:tcPr>
            <w:tcW w:w="90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% (гр.4/гр.2 *100)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bottom"/>
            <w:hideMark/>
          </w:tcPr>
          <w:p w:rsidR="004F3575" w:rsidRPr="004F3575" w:rsidRDefault="004F3575" w:rsidP="004F357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4F3575" w:rsidRPr="004F3575" w:rsidTr="004F3575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4F3575" w:rsidRPr="004F3575" w:rsidRDefault="004F3575" w:rsidP="004F357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4F3575" w:rsidRPr="004F3575" w:rsidRDefault="004F3575" w:rsidP="004F357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Сумма (гр.4-гр.3)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% (гр.4/гр.3*100)</w:t>
            </w:r>
          </w:p>
        </w:tc>
        <w:tc>
          <w:tcPr>
            <w:tcW w:w="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4F3575" w:rsidRPr="004F3575" w:rsidTr="004F3575">
        <w:tc>
          <w:tcPr>
            <w:tcW w:w="18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4F3575" w:rsidRPr="004F3575" w:rsidTr="004F3575">
        <w:tc>
          <w:tcPr>
            <w:tcW w:w="18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318877,6</w:t>
            </w:r>
          </w:p>
        </w:tc>
        <w:tc>
          <w:tcPr>
            <w:tcW w:w="14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322799,9</w:t>
            </w:r>
          </w:p>
        </w:tc>
        <w:tc>
          <w:tcPr>
            <w:tcW w:w="14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331724,4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12846,8</w:t>
            </w:r>
          </w:p>
        </w:tc>
        <w:tc>
          <w:tcPr>
            <w:tcW w:w="9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8924,5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4F3575" w:rsidRPr="004F3575" w:rsidTr="004F3575">
        <w:tc>
          <w:tcPr>
            <w:tcW w:w="18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327587,3</w:t>
            </w:r>
          </w:p>
        </w:tc>
        <w:tc>
          <w:tcPr>
            <w:tcW w:w="14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336662,3</w:t>
            </w:r>
          </w:p>
        </w:tc>
        <w:tc>
          <w:tcPr>
            <w:tcW w:w="14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345263,3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17676,0</w:t>
            </w:r>
          </w:p>
        </w:tc>
        <w:tc>
          <w:tcPr>
            <w:tcW w:w="9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105,4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8601,0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4F3575" w:rsidRPr="004F3575" w:rsidTr="004F3575">
        <w:tc>
          <w:tcPr>
            <w:tcW w:w="18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Дефицит (-)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-8709,7</w:t>
            </w:r>
          </w:p>
        </w:tc>
        <w:tc>
          <w:tcPr>
            <w:tcW w:w="14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-13862,4</w:t>
            </w:r>
          </w:p>
        </w:tc>
        <w:tc>
          <w:tcPr>
            <w:tcW w:w="14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-13538,9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4829,2</w:t>
            </w:r>
          </w:p>
        </w:tc>
        <w:tc>
          <w:tcPr>
            <w:tcW w:w="9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155,4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-323,5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</w:tbl>
    <w:p w:rsidR="004F3575" w:rsidRPr="004F3575" w:rsidRDefault="004F3575" w:rsidP="004F3575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4F357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К первоначальным бюджетным назначениям доходная часть бюджета увеличится на  12846,8 тыс. рублей (104%), расходная часть бюджета увеличится на 17676,0 тыс. рублей (105,4%), дефицит бюджета увеличится на 4829,2 тыс. рублей (155,4%).</w:t>
      </w:r>
    </w:p>
    <w:p w:rsidR="004F3575" w:rsidRPr="004F3575" w:rsidRDefault="004F3575" w:rsidP="004F3575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4F357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Предусмотренный проектом решения дефицит бюджета не противоречит нормам статьи  92.1. Бюджетного Кодекса РФ. Источниками покрытия дефицита являются остатки бюджетных средств на счете по учету средств бюджета на начало года.</w:t>
      </w:r>
    </w:p>
    <w:p w:rsidR="004F3575" w:rsidRPr="004F3575" w:rsidRDefault="004F3575" w:rsidP="004F3575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4F357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Изменение доходной части бюджета муниципального района на 2012 год:</w:t>
      </w:r>
    </w:p>
    <w:p w:rsidR="004F3575" w:rsidRPr="004F3575" w:rsidRDefault="004F3575" w:rsidP="004F3575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4F357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Таблица 2</w:t>
      </w:r>
    </w:p>
    <w:p w:rsidR="004F3575" w:rsidRPr="004F3575" w:rsidRDefault="004F3575" w:rsidP="004F3575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4F357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Тыс. рублей</w:t>
      </w:r>
    </w:p>
    <w:tbl>
      <w:tblPr>
        <w:tblW w:w="10679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982"/>
        <w:gridCol w:w="1517"/>
        <w:gridCol w:w="1556"/>
        <w:gridCol w:w="1406"/>
        <w:gridCol w:w="1520"/>
        <w:gridCol w:w="1349"/>
        <w:gridCol w:w="1349"/>
      </w:tblGrid>
      <w:tr w:rsidR="004F3575" w:rsidRPr="004F3575" w:rsidTr="004F3575">
        <w:tc>
          <w:tcPr>
            <w:tcW w:w="22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Первоначальный бюджет</w:t>
            </w:r>
          </w:p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 2012 год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Утвержденный</w:t>
            </w:r>
          </w:p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бюджет  (ред.25.01.2012г.)</w:t>
            </w:r>
          </w:p>
        </w:tc>
        <w:tc>
          <w:tcPr>
            <w:tcW w:w="14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Предлагаемый проект решения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Изменения проекта решения от первоначального бюджета</w:t>
            </w:r>
          </w:p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(%)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Отклонения проекта решения от утвержденного бюджета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Изменения проекта решения от утвержденного бюджета (%)</w:t>
            </w:r>
          </w:p>
        </w:tc>
      </w:tr>
      <w:tr w:rsidR="004F3575" w:rsidRPr="004F3575" w:rsidTr="004F3575">
        <w:tc>
          <w:tcPr>
            <w:tcW w:w="22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0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93126,0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92646,0</w:t>
            </w:r>
          </w:p>
        </w:tc>
        <w:tc>
          <w:tcPr>
            <w:tcW w:w="14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92646,0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-480,0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99,5</w:t>
            </w:r>
          </w:p>
        </w:tc>
      </w:tr>
      <w:tr w:rsidR="004F3575" w:rsidRPr="004F3575" w:rsidTr="004F3575">
        <w:tc>
          <w:tcPr>
            <w:tcW w:w="22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Дотация на выравнивание уровня бюджетной обеспеченности муниципального района</w:t>
            </w:r>
          </w:p>
        </w:tc>
        <w:tc>
          <w:tcPr>
            <w:tcW w:w="10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12908,0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13388,0</w:t>
            </w:r>
          </w:p>
        </w:tc>
        <w:tc>
          <w:tcPr>
            <w:tcW w:w="14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13388,0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</w:tr>
      <w:tr w:rsidR="004F3575" w:rsidRPr="004F3575" w:rsidTr="004F3575">
        <w:tc>
          <w:tcPr>
            <w:tcW w:w="22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0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    1757,7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5433,1</w:t>
            </w:r>
          </w:p>
        </w:tc>
        <w:tc>
          <w:tcPr>
            <w:tcW w:w="14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11749,1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в 6,7 раза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6316,0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2,2  раза</w:t>
            </w:r>
          </w:p>
        </w:tc>
      </w:tr>
      <w:tr w:rsidR="004F3575" w:rsidRPr="004F3575" w:rsidTr="004F3575">
        <w:tc>
          <w:tcPr>
            <w:tcW w:w="22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14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</w:t>
            </w:r>
          </w:p>
        </w:tc>
      </w:tr>
      <w:tr w:rsidR="004F3575" w:rsidRPr="004F3575" w:rsidTr="004F3575">
        <w:tc>
          <w:tcPr>
            <w:tcW w:w="22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Иные межбюджетные трансферты передаваемые бюджетам муниципальных районов на выполнение части по решению вопросов  местного значения в соответствии с заключенными соглашениями</w:t>
            </w:r>
          </w:p>
        </w:tc>
        <w:tc>
          <w:tcPr>
            <w:tcW w:w="10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1971,1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1971,1</w:t>
            </w:r>
          </w:p>
        </w:tc>
        <w:tc>
          <w:tcPr>
            <w:tcW w:w="14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2325,6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118,0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354,5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106,2</w:t>
            </w:r>
          </w:p>
        </w:tc>
      </w:tr>
      <w:tr w:rsidR="004F3575" w:rsidRPr="004F3575" w:rsidTr="004F3575">
        <w:tc>
          <w:tcPr>
            <w:tcW w:w="22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 Итого собственных доходов</w:t>
            </w:r>
          </w:p>
        </w:tc>
        <w:tc>
          <w:tcPr>
            <w:tcW w:w="10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4F3575" w:rsidRPr="004F3575" w:rsidRDefault="004F3575" w:rsidP="004F3575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109762,8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4F3575" w:rsidRPr="004F3575" w:rsidRDefault="004F3575" w:rsidP="004F3575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113477,1</w:t>
            </w:r>
          </w:p>
        </w:tc>
        <w:tc>
          <w:tcPr>
            <w:tcW w:w="14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4F3575" w:rsidRPr="004F3575" w:rsidRDefault="004F3575" w:rsidP="004F3575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120147,6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4F3575" w:rsidRPr="004F3575" w:rsidRDefault="004F3575" w:rsidP="004F3575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109,5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4F3575" w:rsidRPr="004F3575" w:rsidRDefault="004F3575" w:rsidP="004F3575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6670,5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4F3575" w:rsidRPr="004F3575" w:rsidRDefault="004F3575" w:rsidP="004F3575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105,9</w:t>
            </w:r>
          </w:p>
        </w:tc>
      </w:tr>
      <w:tr w:rsidR="004F3575" w:rsidRPr="004F3575" w:rsidTr="004F3575">
        <w:tc>
          <w:tcPr>
            <w:tcW w:w="22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 xml:space="preserve">Субвенции бюджетам субъектов Российской Федерации и муниципальных </w:t>
            </w: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lastRenderedPageBreak/>
              <w:t>образований</w:t>
            </w:r>
          </w:p>
        </w:tc>
        <w:tc>
          <w:tcPr>
            <w:tcW w:w="10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lastRenderedPageBreak/>
              <w:t>209114,8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209322,8</w:t>
            </w:r>
          </w:p>
        </w:tc>
        <w:tc>
          <w:tcPr>
            <w:tcW w:w="14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211625,2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2302,4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101,0</w:t>
            </w:r>
          </w:p>
        </w:tc>
      </w:tr>
      <w:tr w:rsidR="004F3575" w:rsidRPr="004F3575" w:rsidTr="004F3575">
        <w:tc>
          <w:tcPr>
            <w:tcW w:w="22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lastRenderedPageBreak/>
              <w:t>Возврат субсидий и субвенций прошлых лет</w:t>
            </w:r>
          </w:p>
        </w:tc>
        <w:tc>
          <w:tcPr>
            <w:tcW w:w="10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-48,4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-48,4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</w:t>
            </w:r>
          </w:p>
        </w:tc>
      </w:tr>
      <w:tr w:rsidR="004F3575" w:rsidRPr="004F3575" w:rsidTr="004F3575">
        <w:tc>
          <w:tcPr>
            <w:tcW w:w="22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Всего доходов</w:t>
            </w:r>
          </w:p>
        </w:tc>
        <w:tc>
          <w:tcPr>
            <w:tcW w:w="10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318877,6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   322799,9</w:t>
            </w:r>
          </w:p>
        </w:tc>
        <w:tc>
          <w:tcPr>
            <w:tcW w:w="14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331724,4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104,0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     8924,5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         101,2</w:t>
            </w:r>
          </w:p>
        </w:tc>
      </w:tr>
    </w:tbl>
    <w:p w:rsidR="004F3575" w:rsidRPr="004F3575" w:rsidRDefault="004F3575" w:rsidP="004F3575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4F357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              </w:t>
      </w:r>
    </w:p>
    <w:p w:rsidR="004F3575" w:rsidRPr="004F3575" w:rsidRDefault="004F3575" w:rsidP="004F3575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4F357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Доходную часть бюджета муниципального района планируется увеличить к  первоначальному плану на 12846,8 тыс. рублей (104,0%), к утвержденным бюджетным назначениям на 8924,5 тыс. рублей (101,2%). Объем налоговых и неналоговых доходов остается неизменным.</w:t>
      </w:r>
    </w:p>
    <w:p w:rsidR="004F3575" w:rsidRPr="004F3575" w:rsidRDefault="004F3575" w:rsidP="004F3575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4F357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Объем субсидий бюджету муниципального района  увеличился  по сравнению с первоначальным бюджетом  в 6,7 раза, а к уровню утвержденного бюджета в 2,2 раза Увеличение, главным образом, связано  с выделением на 2012 год субсидий бюджетам муниципальных районов для предоставления их бюджетам поселений на капитальный ремонт и ремонт дворовых территорий многоквартирных домов, проездов к  дворовым территориям многоквартирных домов населенных пунктов в сумме 1716,0 тыс. рублей,  субсидий  бюджетам муниципальных районов и бюджетам муниципальных районов для предоставления их бюджетам поселений на осуществление дорожной деятельности в отношении автомобильных дорог общего пользования местного значения в сумме 4600,0 тыс. рублей.</w:t>
      </w:r>
    </w:p>
    <w:p w:rsidR="004F3575" w:rsidRPr="004F3575" w:rsidRDefault="004F3575" w:rsidP="004F3575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4F357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Настоящим решением предлагается утвердить порядки распределения данных субсидий. Принцип распределения субсидий определен пропорционально количеству многоквартирных домов, в которых выбран способ управления и пропорционально общей протяженности дорог в поселениях соответственно. Контрольно-счетной палатой при подготовке данного заключения была проведена проверка правильности распределения субсидий. Субсидии распределены в соответствии с предложенной методикой.</w:t>
      </w:r>
    </w:p>
    <w:p w:rsidR="004F3575" w:rsidRPr="004F3575" w:rsidRDefault="004F3575" w:rsidP="004F3575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4F357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Объем субвенций бюджету муниципального района на 2012 год  увеличен на 2302,4 тыс. рублей.</w:t>
      </w:r>
    </w:p>
    <w:p w:rsidR="004F3575" w:rsidRPr="004F3575" w:rsidRDefault="004F3575" w:rsidP="004F3575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4F357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Сумма  иных межбюджетных трансфертов на 2012 год  возросла на 354,5 тыс. рублей в связи  с передачей полномочий Контрольно-счетных комиссий поселений Контрольно-счетной палате муниципального района.</w:t>
      </w:r>
    </w:p>
    <w:p w:rsidR="004F3575" w:rsidRPr="004F3575" w:rsidRDefault="004F3575" w:rsidP="004F3575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4F357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Изменения расходной части бюджета  в разрезе функциональной классификации на 2012 год:</w:t>
      </w:r>
    </w:p>
    <w:p w:rsidR="004F3575" w:rsidRPr="004F3575" w:rsidRDefault="004F3575" w:rsidP="004F3575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4F357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Таблица 3</w:t>
      </w:r>
    </w:p>
    <w:p w:rsidR="004F3575" w:rsidRPr="004F3575" w:rsidRDefault="004F3575" w:rsidP="004F3575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4F357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Тыс. рублей</w:t>
      </w:r>
    </w:p>
    <w:tbl>
      <w:tblPr>
        <w:tblW w:w="10852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2211"/>
        <w:gridCol w:w="1517"/>
        <w:gridCol w:w="1556"/>
        <w:gridCol w:w="1350"/>
        <w:gridCol w:w="1520"/>
        <w:gridCol w:w="1349"/>
        <w:gridCol w:w="1349"/>
      </w:tblGrid>
      <w:tr w:rsidR="004F3575" w:rsidRPr="004F3575" w:rsidTr="004F3575">
        <w:tc>
          <w:tcPr>
            <w:tcW w:w="27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Первоначальный бюджет</w:t>
            </w:r>
          </w:p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 2012 год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Первоначальный бюджет</w:t>
            </w:r>
          </w:p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 2012 год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Утвержденный</w:t>
            </w:r>
          </w:p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бюджет  (ред.25.01.2012г.)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Предлагаемый проект решения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Изменения проекта решения от первоначального бюджета</w:t>
            </w:r>
          </w:p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(%)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Отклонения проекта решения от утвержденного бюджета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Изменения проекта решения от утвержденного бюджета (%)</w:t>
            </w:r>
          </w:p>
        </w:tc>
      </w:tr>
      <w:tr w:rsidR="004F3575" w:rsidRPr="004F3575" w:rsidTr="004F3575">
        <w:tc>
          <w:tcPr>
            <w:tcW w:w="27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7</w:t>
            </w:r>
          </w:p>
        </w:tc>
      </w:tr>
      <w:tr w:rsidR="004F3575" w:rsidRPr="004F3575" w:rsidTr="004F3575">
        <w:tc>
          <w:tcPr>
            <w:tcW w:w="27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34645,7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34211,1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34241,5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100,1</w:t>
            </w:r>
          </w:p>
        </w:tc>
      </w:tr>
      <w:tr w:rsidR="004F3575" w:rsidRPr="004F3575" w:rsidTr="004F3575">
        <w:tc>
          <w:tcPr>
            <w:tcW w:w="27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600,3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600,3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600,3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</w:tr>
      <w:tr w:rsidR="004F3575" w:rsidRPr="004F3575" w:rsidTr="004F3575">
        <w:tc>
          <w:tcPr>
            <w:tcW w:w="27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</w:tr>
      <w:tr w:rsidR="004F3575" w:rsidRPr="004F3575" w:rsidTr="004F3575">
        <w:tc>
          <w:tcPr>
            <w:tcW w:w="27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8344,2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8344,2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14660,2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175,7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6316,0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175,7</w:t>
            </w:r>
          </w:p>
        </w:tc>
      </w:tr>
      <w:tr w:rsidR="004F3575" w:rsidRPr="004F3575" w:rsidTr="004F3575">
        <w:tc>
          <w:tcPr>
            <w:tcW w:w="27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27900,0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33969,1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33967,8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121,7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-1,3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99,9</w:t>
            </w:r>
          </w:p>
        </w:tc>
      </w:tr>
      <w:tr w:rsidR="004F3575" w:rsidRPr="004F3575" w:rsidTr="004F3575">
        <w:tc>
          <w:tcPr>
            <w:tcW w:w="27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120943,1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120990,9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123893,2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2902,3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102,4</w:t>
            </w:r>
          </w:p>
        </w:tc>
      </w:tr>
      <w:tr w:rsidR="004F3575" w:rsidRPr="004F3575" w:rsidTr="004F3575">
        <w:tc>
          <w:tcPr>
            <w:tcW w:w="27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25746,6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29100,3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  29084,4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113,0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-15,9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99,9</w:t>
            </w:r>
          </w:p>
        </w:tc>
      </w:tr>
      <w:tr w:rsidR="004F3575" w:rsidRPr="004F3575" w:rsidTr="004F3575">
        <w:tc>
          <w:tcPr>
            <w:tcW w:w="27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84335,3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84374,3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83743,8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-630,5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99,3</w:t>
            </w:r>
          </w:p>
        </w:tc>
      </w:tr>
      <w:tr w:rsidR="004F3575" w:rsidRPr="004F3575" w:rsidTr="004F3575">
        <w:tc>
          <w:tcPr>
            <w:tcW w:w="27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</w:tr>
      <w:tr w:rsidR="004F3575" w:rsidRPr="004F3575" w:rsidTr="004F3575">
        <w:tc>
          <w:tcPr>
            <w:tcW w:w="27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</w:tr>
      <w:tr w:rsidR="004F3575" w:rsidRPr="004F3575" w:rsidTr="004F3575">
        <w:tc>
          <w:tcPr>
            <w:tcW w:w="27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23970,0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23970,0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23970,0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</w:t>
            </w:r>
          </w:p>
        </w:tc>
      </w:tr>
      <w:tr w:rsidR="004F3575" w:rsidRPr="004F3575" w:rsidTr="004F3575">
        <w:tc>
          <w:tcPr>
            <w:tcW w:w="273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ВСЕГО РАСХОДОВ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327587,3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336662,3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345263,3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105,4</w:t>
            </w:r>
          </w:p>
        </w:tc>
        <w:tc>
          <w:tcPr>
            <w:tcW w:w="10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8601,0</w:t>
            </w:r>
          </w:p>
        </w:tc>
        <w:tc>
          <w:tcPr>
            <w:tcW w:w="12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4F3575" w:rsidRPr="004F3575" w:rsidRDefault="004F3575" w:rsidP="004F3575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4F357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102,6</w:t>
            </w:r>
          </w:p>
        </w:tc>
      </w:tr>
    </w:tbl>
    <w:p w:rsidR="004F3575" w:rsidRPr="004F3575" w:rsidRDefault="004F3575" w:rsidP="004F3575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4F357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В целом расходы бюджета планируется увеличить  на 2012 год на 5,4 % к  первоначальному бюджету и на 8601, 0 тыс. рублей или 2,6% к уточненным бюджетным назначениям. Контрольно-счетная палата считает, что данная ситуация возникла по причине увеличения объема  средств, выделяемых из областного бюджета.</w:t>
      </w:r>
    </w:p>
    <w:p w:rsidR="004F3575" w:rsidRPr="004F3575" w:rsidRDefault="004F3575" w:rsidP="004F3575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4F357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Увеличение расходов по отрасли «Национальная экономика»  на 6316,0 тыс. рублей предусмотрено в связи с увеличением объема субсидий бюджетам муниципальных районов для предоставления их бюджетам поселений на капитальный ремонт и ремонт дворовых территорий многоквартирных домов, проездов к  дворовым территориям многоквартирных домов населенных пунктов в сумме 1716,0 тыс. рублей,  субсидий  бюджетам муниципальных районов и бюджетам муниципальных районов для предоставления их бюджетам поселений на осуществление дорожной деятельности в отношении автомобильных дорог общего пользования местного значения в сумме 4600,0 тыс. рублей.</w:t>
      </w:r>
    </w:p>
    <w:p w:rsidR="004F3575" w:rsidRPr="004F3575" w:rsidRDefault="004F3575" w:rsidP="004F3575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4F357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По отрасли «Образование» увеличение расходов на 2902,3 тыс. рублей обусловлено выделением субвенций из областного бюджета.</w:t>
      </w:r>
    </w:p>
    <w:p w:rsidR="004F3575" w:rsidRPr="004F3575" w:rsidRDefault="004F3575" w:rsidP="004F3575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4F357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Проектом решения  предлагается выделение из объема субсидий муниципальным учреждениям на возмещение материальных затрат, связанных с оказанием ими муниципальных услуг в соответствии с муниципальным заданием, объема субсидий на иные цели. Выделение субсидий произведено в соответствии с утвержденным Порядком определения объема и условий предоставления субсидий на иные цели.</w:t>
      </w:r>
    </w:p>
    <w:p w:rsidR="004F3575" w:rsidRPr="004F3575" w:rsidRDefault="004F3575" w:rsidP="004F3575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4F357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Изменение основных характеристик бюджета муниципального района на  плановый период 2013 и 2014 годов связано с изменением объема средств, выделяемых из областного бюджета.</w:t>
      </w:r>
    </w:p>
    <w:p w:rsidR="004F3575" w:rsidRPr="004F3575" w:rsidRDefault="004F3575" w:rsidP="004F3575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4F357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Удельный вес условно утверждаемых расходов (расходов, распределение которых будет производиться к началу каждого года планового периода 2013 и 2014 годов) в общем объеме расходов бюджета  муниципального района в 2013 году составляет не менее 2,5%, в 2014 году не менее 5%, что </w:t>
      </w:r>
      <w:proofErr w:type="spellStart"/>
      <w:r w:rsidRPr="004F357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соотвествует</w:t>
      </w:r>
      <w:proofErr w:type="spellEnd"/>
      <w:r w:rsidRPr="004F357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требованиям статьи 184.1 Бюджетного кодекса Российской Федерации.</w:t>
      </w:r>
    </w:p>
    <w:p w:rsidR="004F3575" w:rsidRPr="004F3575" w:rsidRDefault="004F3575" w:rsidP="004F3575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4F357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Соответствующие изменения вносятся в  распределение расходов бюджета в соответствии с ведомственной структурой расходов бюджета  муниципального района, в распределение бюджетных ассигнований  по разделам и подразделам, целевым статьям и видам расходов  классификации расходов бюджета муниципального района, в источники внутреннего финансирования дефицита бюджета муниципального района,  распределение бюджетных ассигнований на реализацию муниципальных целевых программ, объемы межбюджетных трансфертов, получаемых из других бюджетов бюджетной системы, нормативы распределения доходов  между бюджетом </w:t>
      </w:r>
      <w:proofErr w:type="spellStart"/>
      <w:r w:rsidRPr="004F357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4F357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муниципального района бюджетами поселений, распределение субсидий и субвенций бюджетам поселений и муниципальному району, перечень главных администраторов доходов бюджета.</w:t>
      </w:r>
    </w:p>
    <w:p w:rsidR="004F3575" w:rsidRPr="004F3575" w:rsidRDefault="004F3575" w:rsidP="004F3575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4F357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Представленный на рассмотрение проект решения соответствует требованиям законодательства, определенным Бюджетным кодексом РФ, Положением о бюджетном процессе в </w:t>
      </w:r>
      <w:proofErr w:type="spellStart"/>
      <w:r w:rsidRPr="004F357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Парфинском</w:t>
      </w:r>
      <w:proofErr w:type="spellEnd"/>
      <w:r w:rsidRPr="004F357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муниципальном районе. Контрольно-счетная палата муниципального района считает возможным предложить Думе муниципального района  утвердить проект решения в предлагаемой  редакции.</w:t>
      </w:r>
    </w:p>
    <w:p w:rsidR="004F3575" w:rsidRPr="004F3575" w:rsidRDefault="004F3575" w:rsidP="004F3575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4F357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4F3575" w:rsidRPr="004F3575" w:rsidRDefault="004F3575" w:rsidP="004F3575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4F357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Председатель Контрольно-счетной</w:t>
      </w:r>
    </w:p>
    <w:p w:rsidR="004F3575" w:rsidRPr="004F3575" w:rsidRDefault="004F3575" w:rsidP="004F3575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4F357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палаты муниципального района                                        Е.В. Сорокина</w:t>
      </w:r>
    </w:p>
    <w:p w:rsidR="002F0C19" w:rsidRPr="004F3575" w:rsidRDefault="002F0C19" w:rsidP="004F3575"/>
    <w:sectPr w:rsidR="002F0C19" w:rsidRPr="004F3575" w:rsidSect="002F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675D8"/>
    <w:rsid w:val="00056D80"/>
    <w:rsid w:val="000675D8"/>
    <w:rsid w:val="00154A77"/>
    <w:rsid w:val="002A7D80"/>
    <w:rsid w:val="002F0C19"/>
    <w:rsid w:val="004F3575"/>
    <w:rsid w:val="009C7692"/>
    <w:rsid w:val="00A536A9"/>
    <w:rsid w:val="00E967AE"/>
    <w:rsid w:val="00EA14DE"/>
    <w:rsid w:val="00EE23EC"/>
    <w:rsid w:val="00F0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19"/>
  </w:style>
  <w:style w:type="paragraph" w:styleId="1">
    <w:name w:val="heading 1"/>
    <w:basedOn w:val="a"/>
    <w:link w:val="10"/>
    <w:uiPriority w:val="9"/>
    <w:qFormat/>
    <w:rsid w:val="002A7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75D8"/>
  </w:style>
  <w:style w:type="character" w:customStyle="1" w:styleId="10">
    <w:name w:val="Заголовок 1 Знак"/>
    <w:basedOn w:val="a0"/>
    <w:link w:val="1"/>
    <w:uiPriority w:val="9"/>
    <w:rsid w:val="002A7D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A7D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A7D80"/>
    <w:rPr>
      <w:color w:val="800080"/>
      <w:u w:val="single"/>
    </w:rPr>
  </w:style>
  <w:style w:type="character" w:styleId="a6">
    <w:name w:val="Strong"/>
    <w:basedOn w:val="a0"/>
    <w:uiPriority w:val="22"/>
    <w:qFormat/>
    <w:rsid w:val="002A7D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1482</Words>
  <Characters>8449</Characters>
  <Application>Microsoft Office Word</Application>
  <DocSecurity>0</DocSecurity>
  <Lines>70</Lines>
  <Paragraphs>19</Paragraphs>
  <ScaleCrop>false</ScaleCrop>
  <Company>Microsoft</Company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2019-11-21T08:56:00Z</dcterms:created>
  <dcterms:modified xsi:type="dcterms:W3CDTF">2019-11-21T08:56:00Z</dcterms:modified>
</cp:coreProperties>
</file>