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D4" w:rsidRPr="00D87BD4" w:rsidRDefault="00D87BD4" w:rsidP="00D87BD4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УТВЕРЖДАЮ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Председатель Контрольно-счетной палаты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 </w:t>
      </w:r>
      <w:proofErr w:type="spellStart"/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__________Е.В. Сорокина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«_____»_____________ 2014 г.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ОТЧЕТ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 результатах внешней проверки бюджетной отчетности главных распорядителей бюджетных средств за 2013 год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Основание для проведения проверки: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план работы Контрольно-счетной палаты   </w:t>
      </w:r>
      <w:proofErr w:type="spellStart"/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на 2013 год.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Цели и задачи проверки:</w:t>
      </w:r>
      <w:r w:rsidRPr="00D87BD4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провести оценку достоверности сводной бюджетной отчетности главных распорядителей бюджетных средств (ГРБС), состояния учета и отчетности у главных распорядителей бюджетных средств.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Объекты проверки: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комитет  финансов   муниципального района</w:t>
      </w: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,</w:t>
      </w:r>
      <w:r w:rsidRPr="00D87BD4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Администрация  муниципального района, Комитет по труду и социальной защите населения  муниципального района, управление сельского хозяйства  муниципального района, комитет культуры и спорта муниципального района, Отдел образования муниципального района.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Состав контрольной группы: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Председатель Контрольно-счетной палаты муниципального района Е.В. Сорокина, ведущий инспектор Е.А. Исакова.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Акты, заключения, справки, использованные в отчете: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Проверка проведена по 4 администраторам камеральным методом, по 2 администраторам с выходом на места. По результатам проверки составлено 2 акта и 4 заключения, с которыми под роспись ознакомлены соответствующие должностные лица объектов контроля.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Общие положения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Внешняя проверка бюджетной отчетности ГРБС за 2013 год проведена в соответствии со статьей 264.4 Бюджетного кодекса Российской Федерации, Положением о бюджетном процессе в </w:t>
      </w:r>
      <w:proofErr w:type="spellStart"/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районе, утверждённым Решением Думы муниципального района от 30 октября 2013 года N 193, Положением о Контрольно-счетной палате </w:t>
      </w:r>
      <w:proofErr w:type="spellStart"/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утвержденным решением Думы  </w:t>
      </w:r>
      <w:proofErr w:type="spellStart"/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  от 30.11.2011 г. №78, и иными нормативными правовыми актами на основании годовой бюджетной отчетности, регистров синтетического и аналитического учета и иных документов, представленных ГРБС.</w:t>
      </w:r>
    </w:p>
    <w:p w:rsidR="00D87BD4" w:rsidRPr="00D87BD4" w:rsidRDefault="00D87BD4" w:rsidP="00D87BD4">
      <w:pPr>
        <w:shd w:val="clear" w:color="auto" w:fill="F9F9F9"/>
        <w:spacing w:after="360" w:line="360" w:lineRule="atLeast"/>
        <w:jc w:val="both"/>
        <w:textAlignment w:val="baseline"/>
        <w:outlineLvl w:val="1"/>
        <w:rPr>
          <w:rFonts w:ascii="Georgia" w:eastAsia="Times New Roman" w:hAnsi="Georgia" w:cs="Times New Roman"/>
          <w:color w:val="444444"/>
          <w:sz w:val="23"/>
          <w:szCs w:val="23"/>
          <w:lang w:eastAsia="ru-RU"/>
        </w:rPr>
      </w:pPr>
      <w:r w:rsidRPr="00D87BD4">
        <w:rPr>
          <w:rFonts w:ascii="Georgia" w:eastAsia="Times New Roman" w:hAnsi="Georgia" w:cs="Times New Roman"/>
          <w:color w:val="444444"/>
          <w:sz w:val="23"/>
          <w:szCs w:val="23"/>
          <w:lang w:eastAsia="ru-RU"/>
        </w:rPr>
        <w:t>Проверка правильности составления, ведения бюджетной росписи ГРБС, включая внесение в нее  изменений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Проверкой соблюдения порядка составления и ведения бюджетных росписей  ГРБС выявлено нарушение Приказа комитета финансов муниципального района от 16.12.2010 года № 91  «Об утверждении Порядка составления и ведения бюджетной росписи бюджета муниципального района и бюджетных росписей главных распорядителей, получателей средств бюджета муниципального района (главных администраторов источников финансирования дефицита бюджета муниципального района)» (далее – Порядок) у следующих главных распорядителей бюджетных средств: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 комитете финансов муниципального района: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В нарушение пункта 5 раздела 111 Порядка показатели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сводной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росписи на очередной финансовый год и плановый период комитету, как главному администратору источников финансирования дефицита бюджета, не доводились, справки-уведомления об изменении росписи источников финансирования  дефицита бюджета не выписывались. В связи с этим, в нарушение пункта 4 Порядка, отделом бухгалтерского учета, отчетности и контрольно-ревизионной работы роспись источников внутреннего финансирования дефицита бюджета не велась.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 комитете культуры и спорта муниципального района: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ГРБС разработан  Порядок  взаимодействия Комитета  и подведомственных получателей бюджетных средств, утвержденный приказом Комитета от 31.12.2010 №  221 «Об утверждении Порядка взаимодействия комитета культуры и спорта и подведомственных получателей бюджетных средств по составлению и ведению бюджетной росписи» (далее- Порядок взаимодействия). В Порядке взаимодействия отсутствует информация  когда и кем,  должна быть утверждена роспись, в течение какого времени она должна быть доведена до подведомственных получателей.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Проверка достоверности  бюджетной отчетности ГРБС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Сводная бюджетная отчетность всеми ГРБС сформирована в объеме форм, предусмотренных пунктом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  (далее – Инструкция  №191н) и представлена в установленные сроки.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Формирование сводной бюджетной отчетности осуществлялось ГРБС в программном обеспечении «ПАРУС-Бюджет» в режиме «</w:t>
      </w:r>
      <w:proofErr w:type="spellStart"/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On-Line</w:t>
      </w:r>
      <w:proofErr w:type="spellEnd"/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» на основании  бюджетной отчетности  получателей бюджетных средств.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ходе внешней проверки бюджетной отчетности ГРБС установлены факты несоблюдения положений Инструкции 191н, ненадлежащего ведения учета и другие нарушения, повлиявшие на достоверность отдельных показателей  отчетности на общую  сумму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974,9 тыс. рублей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тыс. рублей, в том числе по формам: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Сведения о движении нефинансовых активов (ф. 0503168) – 24,9 тыс. рублей (в комитете по труду и социальной защите населения муниципального района);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– 950,0 тыс. рублей (в комитете финансов муниципального района).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Проверкой правильности отражения показателей бюджетной отчетности установлены  следующие нарушения и недостатки: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 комитете финансов муниципального района: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нарушение  абзаца 7 пункта 55 Инструкции 191н по строке 520 раздела 111 «Источники финансирования дефицитов бюджетов» формы 0503127 в графе 4 Комитетом финансов  не отражены общие суммы утвержденных бюджетных назначений по поступлениям источников внутреннего финансирования дефицита   бюджета в сумме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950,0 тыс. рублей</w:t>
      </w: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 комитете по труду и социальной защите населения муниципального района: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Таблице 3 «Сведения об     исполнении текстовых статей закона (решения) о бюджете»: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- по статье 10 решения о бюджете «Бюджетные ассигнования бюджета муниципального района на 2013 год и плановый период 2014 и 2015 годов» в части публичных нормативных обязательств исполнение составило 95%, в графе 3 таблицы 3 не указаны причины неполного исполнения бюджетных обязательств (исправлено во время проверки);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 операции по внутреннему перемещению основных средств в сумме 24,9 тыс. рублей не правомерно включены в отчетность ф. 0503121 «Отчет о финансовых результатах деятельности» и ф. 0503168 «Сведения о движении нефинансовых активов». Необходимые исправления внесены в отчетность во время проведения проверки и на сводную бюджетную отчетность не повлияли (исправлено во время проверки).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 управлении сельского хозяйства муниципального района: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  в нарушение п. 155 Инструкции 191н  в  графе 1 Таблицы 3 «Сведения об исполнении текстовых статей закона (решения) о бюджете» пояснительной записки не отражена информация статьи 6 Решения о бюджете по реструктуризации кредиторской задолженности юридических лиц по пеням и штрафам в части сельскохозяйственных товаропроизводителей;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нарушение п.162 Инструкции 191н в графе 5 ф. 0503163 «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причины внесенных изменений в бюджетную роспись показаны без указания ссылки на правовые основания их внесения (статьи Бюджетного  кодекса РФ,  решения о бюджете);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графе 3 отчета ф. 0503177 «Сведения об использовании информационно-коммуникационных технологий» не указаны коды расходов бюджетной классификации, по которым были осуществлены мероприятия, в графе 5 не указаны конкретные цели произведенных расходов.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 Отделе образования муниципального района: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информация в Таблице № 2 «Сведения о мерах по повышению эффективности» содержит  реквизиты распорядительного документа Министерства финансов Российской Федерации  13.06.1995 № 49 «Об утверждении методических указаний по инвентаризации имущества и финансовых обязательств», который не является распорядительным документом  Отдела образования и не должен отражаться в данной форме бюджетной отчетности (п. 154 Инструкции 191н);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таблице № 7 «Сведения о результатах внешних контрольных мероприятий» в графах 1-5 указаны сведения  о проверке Контрольно-сетной палаты муниципального района, которые заполнять не следовало, так как в Отделе образования проверка не проводилась, а представлялась бюджетная отчетность и проводилась ее экспертиза,  которая является экспертно-аналитическим мероприятием, а не мероприятием по внешнему контролю (пункт 159 Инструкции № 191н);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 комитете культуры и спорта муниципального района: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нарушение п.163 Инструкции 191н  в  ф. 0503164 «Сведения об исполнении бюджета» пояснительной записки  по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hyperlink r:id="rId4" w:history="1">
        <w:r w:rsidRPr="00D87BD4">
          <w:rPr>
            <w:rFonts w:ascii="Helvetica" w:eastAsia="Times New Roman" w:hAnsi="Helvetica" w:cs="Helvetica"/>
            <w:color w:val="0066CC"/>
            <w:sz w:val="16"/>
            <w:u w:val="single"/>
            <w:lang w:eastAsia="ru-RU"/>
          </w:rPr>
          <w:t>раздел</w:t>
        </w:r>
      </w:hyperlink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 1 «Доходы» не сформированы показатели, по которым исполнение на отчетную дату не соответствуют плановым показателям, в том числе, по которым прогнозные показатели отсутствуют;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нарушение пункта 155 Инструкции 190н  данные Таблицы 3 «Сведения об     исполнении текстовых статей закона (решения) о бюджете» не отражают информации: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по исполнению текстовой статьи 10 «Бюджетные ассигнования бюджета муниципального района на 2012 год и плановый период 2013 и 2014 годов» в части публичных нормативных обязательств,  также отсутствует информация о результате исполнения данной статьи решения о бюджете;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по исполнению статей бюджета 5 «Главные администраторы доходов и главные администраторы источников финансирования дефицита бюджета муниципального района» и 8 «Особенности использования средств, поступающих во временное распоряжение получателей средств бюджета муниципального района» в части объемов произведенных расходов и результатах исполнения.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Проверка организации ведения бюджетного учета у ГРБС как получателя бюджетных средств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Проверка организации ведения бюджетного учета  у главных распорядителей бюджетных средств, как у получателей бюджетных средств, проводилась в комитете культуры и спорта муниципального района и комитете финансов муниципального района.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Проверка показала, что бухгалтерский учет по исполнению сметы расходов в проверяемых учреждениях осуществляется в соответствии  с Бюджетным кодексом РФ, Приказом 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  (муниципальных) учреждений и инструкции по его применению» (далее- Инструкция 157н), Приказом  Министерства финансов Российской Федерации от 06 декабря 2010 года № 162н "Об утверждении Плана счетов бюджетного учета и Инструкции по его применению" и иных нормативно-правовых документов.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Приказами учреждений утверждена учетная политика, регламентирующая их деятельность в области бухгалтерского учета и налогообложения.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Инвентаризация имущества и финансовых обязательств проведена в установленные сроки и в полном объеме. Результаты инвентаризации оформлены в соответствии с «Методическими указаниями по инвентаризации имущества и финансовых обязательств», утвержденные Приказом МФ РФ от 13.06.1995 № 49. По результатам проведенной инвентаризации, расхождений  по данным бухгалтерского учета и фактического наличия материальных ценностей не выявлено.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Учет операций с бюджетными ассигнованиями, лимитами бюджетных обязательств,  принятыми бюджетными и денежными обязательствами осуществляется на соответствующих счетах, предусмотренных  Инструкцией № 157н и Инструкцией № 162н.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Показатели  форм бюджетной отчетности соответствуют показателям Главной книги ГРБС, оборотам и остаткам  регистров аналитического учета.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Внутриведомственный финансовый контроль  урегулирован.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lastRenderedPageBreak/>
        <w:t> 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1. Внешняя проверка бюджетной отчетности показала, что бюджетная  отчетность сформирована ГРБС в полном объеме  и представлена в установленный срок. Вместе с тем, установлены факты, повлиявшие на достоверность отдельных показателей бюджетной отчетности на  сумму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974,9  тыс. рублей</w:t>
      </w:r>
      <w:r w:rsidRPr="00D87BD4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(в сумме 24,9 тыс. рублей исправления внесены во время проверки).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2. В ходе проверок ГРБС установлены иные нарушения и недостатки: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2.1. Нарушение процедур по составлению и ведению бюджетной росписи, бюджетных смет получателей бюджетных средств: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показатели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сводной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бюджетной росписи на очередной финансовый год и плановый период Комитету финансов, как главному администратору источников финансирования дефицита бюджета, не доводились, справки-уведомления об изменении росписи источников финансирования  дефицита бюджета не выписывались;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Порядке взаимодействия комитета культуры и спорта и подведомственных получателей бюджетных средств по составлению и ведению бюджетной росписи отсутствует информация,  когда и кем должна быть утверждена роспись, в течение, какого времени она должна быть доведена до подведомственных получателей.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2.2. Нарушения и недостатки при составлении бюджетной отчетности: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нарушение  абзаца 7 пункта 55 Инструкции 191н по строке 520 раздела 111 «Источники финансирования дефицитов бюджетов» формы 0503127 в графе 4 Комитетом финансов  не отражены общие суммы утвержденных бюджетных назначений по поступлениям источников внутреннего финансирования дефицита   бюджета в сумме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950,0 тыс. рублей;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</w:t>
      </w:r>
      <w:r w:rsidRPr="00D87BD4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-  операции по внутреннему перемещению основных средств в комитете социальной защиты населения в сумме</w:t>
      </w:r>
      <w:r w:rsidRPr="00D87BD4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24,9 тыс. </w:t>
      </w:r>
      <w:proofErr w:type="spellStart"/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рублей</w:t>
      </w: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не</w:t>
      </w:r>
      <w:proofErr w:type="spellEnd"/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правомерно включены в отчетность ф. 0503121 «Отчет о финансовых результатах деятельности» и ф. 0503168 «Сведения о движении нефинансовых активов» (исправления внесены во время проверки).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2.3.</w:t>
      </w:r>
      <w:r w:rsidRPr="00D87BD4">
        <w:rPr>
          <w:rFonts w:ascii="Helvetica" w:eastAsia="Times New Roman" w:hAnsi="Helvetica" w:cs="Helvetica"/>
          <w:i/>
          <w:iCs/>
          <w:color w:val="444444"/>
          <w:sz w:val="16"/>
          <w:lang w:eastAsia="ru-RU"/>
        </w:rPr>
        <w:t> </w:t>
      </w: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Установлены недостатки при формировании форм бюджетной отчетности, форм и таблиц пояснительной записки к годовому отчету (Таблицы 2, 3, 7, ф. 0503121, 0503163, 0503164, 0503168,  0503177).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Предложения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1. В целях устранения и недопущения в дальнейшем выявленных нарушений и недостатков предлагается провести мероприятия: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по усилению контроля за достоверным формированием бюджетной отчетности в соответствии с требованиями нормативных правовых актов Министерства финансов Российской Федерации и не допущению фактов искажения бюджетной отчетности (всем ГРБС);</w:t>
      </w:r>
    </w:p>
    <w:p w:rsidR="00D87BD4" w:rsidRPr="00D87BD4" w:rsidRDefault="00D87BD4" w:rsidP="00D87BD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По  составлению и ведению бюджетной росписи и приведения их в соответствие с требованиями Порядка составления сводной бюджетной росписи, бюджетных росписей ГРБС (комитет культуры и спорта  муниципального района, комитет финансов муниципального района).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lastRenderedPageBreak/>
        <w:t> </w:t>
      </w:r>
    </w:p>
    <w:p w:rsidR="00D87BD4" w:rsidRPr="00D87BD4" w:rsidRDefault="00D87BD4" w:rsidP="00D87BD4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87BD4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Ведущий инспектор                                                               Е.А. Исакова</w:t>
      </w:r>
    </w:p>
    <w:p w:rsidR="002F0C19" w:rsidRDefault="002F0C19"/>
    <w:sectPr w:rsidR="002F0C19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87BD4"/>
    <w:rsid w:val="002F0C19"/>
    <w:rsid w:val="00D8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2">
    <w:name w:val="heading 2"/>
    <w:basedOn w:val="a"/>
    <w:link w:val="20"/>
    <w:uiPriority w:val="9"/>
    <w:qFormat/>
    <w:rsid w:val="00D87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BD4"/>
  </w:style>
  <w:style w:type="character" w:styleId="a4">
    <w:name w:val="Hyperlink"/>
    <w:basedOn w:val="a0"/>
    <w:uiPriority w:val="99"/>
    <w:semiHidden/>
    <w:unhideWhenUsed/>
    <w:rsid w:val="00D87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AB3937286F007BA095C04D7B54664E2AE917B47E9F147EB693D94CA2949F0F593DABE3EE76E7DB1FoC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2155</Words>
  <Characters>12289</Characters>
  <Application>Microsoft Office Word</Application>
  <DocSecurity>0</DocSecurity>
  <Lines>102</Lines>
  <Paragraphs>28</Paragraphs>
  <ScaleCrop>false</ScaleCrop>
  <Company>Microsoft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2019-11-21T09:31:00Z</dcterms:created>
  <dcterms:modified xsi:type="dcterms:W3CDTF">2019-11-21T09:31:00Z</dcterms:modified>
</cp:coreProperties>
</file>