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D4" w:rsidRPr="00D87BD4" w:rsidRDefault="00D87BD4" w:rsidP="00D87BD4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УТВЕРЖДАЮ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Председатель Контрольно-счетной палаты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 xml:space="preserve">   </w:t>
      </w:r>
      <w:proofErr w:type="spellStart"/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Парфинского</w:t>
      </w:r>
      <w:proofErr w:type="spellEnd"/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 xml:space="preserve"> муниципального района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__________Е.В. Сорокина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 «_____»_____________ 2014 г.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ОТЧЕТ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о результатах внешней проверки бюджетной отчетности главных распорядителей бюджетных средств за 2013 год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Основание для проведения проверки:</w:t>
      </w:r>
      <w:r w:rsidRPr="00D87BD4">
        <w:rPr>
          <w:rFonts w:ascii="Helvetica" w:eastAsia="Times New Roman" w:hAnsi="Helvetica" w:cs="Helvetica"/>
          <w:color w:val="444444"/>
          <w:sz w:val="16"/>
          <w:lang w:eastAsia="ru-RU"/>
        </w:rPr>
        <w:t> </w:t>
      </w: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 xml:space="preserve">план работы Контрольно-счетной палаты   </w:t>
      </w:r>
      <w:proofErr w:type="spellStart"/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Парфинского</w:t>
      </w:r>
      <w:proofErr w:type="spellEnd"/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 xml:space="preserve"> муниципального района на 2013 год.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Цели и задачи проверки:</w:t>
      </w:r>
      <w:r w:rsidRPr="00D87BD4">
        <w:rPr>
          <w:rFonts w:ascii="Helvetica" w:eastAsia="Times New Roman" w:hAnsi="Helvetica" w:cs="Helvetica"/>
          <w:b/>
          <w:bCs/>
          <w:color w:val="444444"/>
          <w:sz w:val="16"/>
          <w:lang w:eastAsia="ru-RU"/>
        </w:rPr>
        <w:t> </w:t>
      </w: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провести оценку достоверности сводной бюджетной отчетности главных распорядителей бюджетных средств (ГРБС), состояния учета и отчетности у главных распорядителей бюджетных средств.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Объекты проверки:</w:t>
      </w:r>
      <w:r w:rsidRPr="00D87BD4">
        <w:rPr>
          <w:rFonts w:ascii="Helvetica" w:eastAsia="Times New Roman" w:hAnsi="Helvetica" w:cs="Helvetica"/>
          <w:color w:val="444444"/>
          <w:sz w:val="16"/>
          <w:lang w:eastAsia="ru-RU"/>
        </w:rPr>
        <w:t> </w:t>
      </w: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комитет  финансов   муниципального района</w:t>
      </w: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,</w:t>
      </w:r>
      <w:r w:rsidRPr="00D87BD4">
        <w:rPr>
          <w:rFonts w:ascii="Helvetica" w:eastAsia="Times New Roman" w:hAnsi="Helvetica" w:cs="Helvetica"/>
          <w:b/>
          <w:bCs/>
          <w:color w:val="444444"/>
          <w:sz w:val="16"/>
          <w:lang w:eastAsia="ru-RU"/>
        </w:rPr>
        <w:t> </w:t>
      </w: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Администрация  муниципального района, Комитет по труду и социальной защите населения  муниципального района, управление сельского хозяйства  муниципального района, комитет культуры и спорта муниципального района, Отдел образования муниципального района.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Состав контрольной группы:</w:t>
      </w:r>
      <w:r w:rsidRPr="00D87BD4">
        <w:rPr>
          <w:rFonts w:ascii="Helvetica" w:eastAsia="Times New Roman" w:hAnsi="Helvetica" w:cs="Helvetica"/>
          <w:color w:val="444444"/>
          <w:sz w:val="16"/>
          <w:lang w:eastAsia="ru-RU"/>
        </w:rPr>
        <w:t> </w:t>
      </w: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Председатель Контрольно-счетной палаты муниципального района Е.В. Сорокина, ведущий инспектор Е.А. Исакова.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Акты, заключения, справки, использованные в отчете:</w:t>
      </w:r>
      <w:r w:rsidRPr="00D87BD4">
        <w:rPr>
          <w:rFonts w:ascii="Helvetica" w:eastAsia="Times New Roman" w:hAnsi="Helvetica" w:cs="Helvetica"/>
          <w:color w:val="444444"/>
          <w:sz w:val="16"/>
          <w:lang w:eastAsia="ru-RU"/>
        </w:rPr>
        <w:t> </w:t>
      </w: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Проверка проведена по 4 администраторам камеральным методом, по 2 администраторам с выходом на места. По результатам проверки составлено 2 акта и 4 заключения, с которыми под роспись ознакомлены соответствующие должностные лица объектов контроля.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 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Общие положения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 xml:space="preserve">Внешняя проверка бюджетной отчетности ГРБС за 2013 год проведена в соответствии со статьей 264.4 Бюджетного кодекса Российской Федерации, Положением о бюджетном процессе в </w:t>
      </w:r>
      <w:proofErr w:type="spellStart"/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Парфинском</w:t>
      </w:r>
      <w:proofErr w:type="spellEnd"/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 xml:space="preserve"> муниципальном районе, утверждённым Решением Думы муниципального района от 30 октября 2013 года N 193, Положением о Контрольно-счетной палате </w:t>
      </w:r>
      <w:proofErr w:type="spellStart"/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Парфинского</w:t>
      </w:r>
      <w:proofErr w:type="spellEnd"/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 xml:space="preserve"> муниципального района, утвержденным решением Думы  </w:t>
      </w:r>
      <w:proofErr w:type="spellStart"/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Парфинского</w:t>
      </w:r>
      <w:proofErr w:type="spellEnd"/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 xml:space="preserve"> муниципального района  от 30.11.2011 г. №78, и иными нормативными правовыми актами на основании годовой бюджетной отчетности, регистров синтетического и аналитического учета и иных документов, представленных ГРБС.</w:t>
      </w:r>
    </w:p>
    <w:p w:rsidR="00D87BD4" w:rsidRPr="00D87BD4" w:rsidRDefault="00D87BD4" w:rsidP="00D87BD4">
      <w:pPr>
        <w:shd w:val="clear" w:color="auto" w:fill="F9F9F9"/>
        <w:spacing w:after="360" w:line="360" w:lineRule="atLeast"/>
        <w:jc w:val="both"/>
        <w:textAlignment w:val="baseline"/>
        <w:outlineLvl w:val="1"/>
        <w:rPr>
          <w:rFonts w:ascii="Georgia" w:eastAsia="Times New Roman" w:hAnsi="Georgia" w:cs="Times New Roman"/>
          <w:color w:val="444444"/>
          <w:sz w:val="23"/>
          <w:szCs w:val="23"/>
          <w:lang w:eastAsia="ru-RU"/>
        </w:rPr>
      </w:pPr>
      <w:r w:rsidRPr="00D87BD4">
        <w:rPr>
          <w:rFonts w:ascii="Georgia" w:eastAsia="Times New Roman" w:hAnsi="Georgia" w:cs="Times New Roman"/>
          <w:color w:val="444444"/>
          <w:sz w:val="23"/>
          <w:szCs w:val="23"/>
          <w:lang w:eastAsia="ru-RU"/>
        </w:rPr>
        <w:t>Проверка правильности составления, ведения бюджетной росписи ГРБС, включая внесение в нее  изменений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Проверкой соблюдения порядка составления и ведения бюджетных росписей  ГРБС выявлено нарушение Приказа комитета финансов муниципального района от 16.12.2010 года № 91  «Об утверждении Порядка составления и ведения бюджетной росписи бюджета муниципального района и бюджетных росписей главных распорядителей, получателей средств бюджета муниципального района (главных администраторов источников финансирования дефицита бюджета муниципального района)» (далее – Порядок) у следующих главных распорядителей бюджетных средств: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В комитете финансов муниципального района: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lastRenderedPageBreak/>
        <w:t>В нарушение пункта 5 раздела 111 Порядка показатели</w:t>
      </w:r>
      <w:r w:rsidRPr="00D87BD4">
        <w:rPr>
          <w:rFonts w:ascii="Helvetica" w:eastAsia="Times New Roman" w:hAnsi="Helvetica" w:cs="Helvetica"/>
          <w:color w:val="444444"/>
          <w:sz w:val="16"/>
          <w:lang w:eastAsia="ru-RU"/>
        </w:rPr>
        <w:t> </w:t>
      </w: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сводной</w:t>
      </w:r>
      <w:r w:rsidRPr="00D87BD4">
        <w:rPr>
          <w:rFonts w:ascii="Helvetica" w:eastAsia="Times New Roman" w:hAnsi="Helvetica" w:cs="Helvetica"/>
          <w:color w:val="444444"/>
          <w:sz w:val="16"/>
          <w:lang w:eastAsia="ru-RU"/>
        </w:rPr>
        <w:t> </w:t>
      </w: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росписи на очередной финансовый год и плановый период комитету, как главному администратору источников финансирования дефицита бюджета, не доводились, справки-уведомления об изменении росписи источников финансирования  дефицита бюджета не выписывались. В связи с этим, в нарушение пункта 4 Порядка, отделом бухгалтерского учета, отчетности и контрольно-ревизионной работы роспись источников внутреннего финансирования дефицита бюджета не велась.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В комитете культуры и спорта муниципального района: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ГРБС разработан  Порядок  взаимодействия Комитета  и подведомственных получателей бюджетных средств, утвержденный приказом Комитета от 31.12.2010 №  221 «Об утверждении Порядка взаимодействия комитета культуры и спорта и подведомственных получателей бюджетных средств по составлению и ведению бюджетной росписи» (далее- Порядок взаимодействия). В Порядке взаимодействия отсутствует информация  когда и кем,  должна быть утверждена роспись, в течение какого времени она должна быть доведена до подведомственных получателей.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Проверка достоверности  бюджетной отчетности ГРБС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 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Сводная бюджетная отчетность всеми ГРБС сформирована в объеме форм, предусмотренных пунктом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  (далее – Инструкция  №191н) и представлена в установленные сроки.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Формирование сводной бюджетной отчетности осуществлялось ГРБС в программном обеспечении «ПАРУС-Бюджет» в режиме «</w:t>
      </w:r>
      <w:proofErr w:type="spellStart"/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On-Line</w:t>
      </w:r>
      <w:proofErr w:type="spellEnd"/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» на основании  бюджетной отчетности  получателей бюджетных средств.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В ходе внешней проверки бюджетной отчетности ГРБС установлены факты несоблюдения положений Инструкции 191н, ненадлежащего ведения учета и другие нарушения, повлиявшие на достоверность отдельных показателей  отчетности на общую  сумму</w:t>
      </w:r>
      <w:r w:rsidRPr="00D87BD4">
        <w:rPr>
          <w:rFonts w:ascii="Helvetica" w:eastAsia="Times New Roman" w:hAnsi="Helvetica" w:cs="Helvetica"/>
          <w:color w:val="444444"/>
          <w:sz w:val="16"/>
          <w:lang w:eastAsia="ru-RU"/>
        </w:rPr>
        <w:t> </w:t>
      </w: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974,9 тыс. рублей</w:t>
      </w:r>
      <w:r w:rsidRPr="00D87BD4">
        <w:rPr>
          <w:rFonts w:ascii="Helvetica" w:eastAsia="Times New Roman" w:hAnsi="Helvetica" w:cs="Helvetica"/>
          <w:color w:val="444444"/>
          <w:sz w:val="16"/>
          <w:lang w:eastAsia="ru-RU"/>
        </w:rPr>
        <w:t> </w:t>
      </w: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тыс. рублей, в том числе по формам: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Сведения о движении нефинансовых активов (ф. 0503168) – 24,9 тыс. рублей (в комитете по труду и социальной защите населения муниципального района);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Отчет об исполнении бюджета главного распорядителя, распорядителя, получателя бюджетных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– 950,0 тыс. рублей (в комитете финансов муниципального района).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Проверкой правильности отражения показателей бюджетной отчетности установлены  следующие нарушения и недостатки: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в комитете финансов муниципального района: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- в нарушение  абзаца 7 пункта 55 Инструкции 191н по строке 520 раздела 111 «Источники финансирования дефицитов бюджетов» формы 0503127 в графе 4 Комитетом финансов  не отражены общие суммы утвержденных бюджетных назначений по поступлениям источников внутреннего финансирования дефицита   бюджета в сумме</w:t>
      </w:r>
      <w:r w:rsidRPr="00D87BD4">
        <w:rPr>
          <w:rFonts w:ascii="Helvetica" w:eastAsia="Times New Roman" w:hAnsi="Helvetica" w:cs="Helvetica"/>
          <w:color w:val="444444"/>
          <w:sz w:val="16"/>
          <w:lang w:eastAsia="ru-RU"/>
        </w:rPr>
        <w:t> </w:t>
      </w: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950,0 тыс. рублей</w:t>
      </w: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.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в комитете по труду и социальной защите населения муниципального района: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В Таблице 3 «Сведения об     исполнении текстовых статей закона (решения) о бюджете»: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lastRenderedPageBreak/>
        <w:t>- по статье 10 решения о бюджете «Бюджетные ассигнования бюджета муниципального района на 2013 год и плановый период 2014 и 2015 годов» в части публичных нормативных обязательств исполнение составило 95%, в графе 3 таблицы 3 не указаны причины неполного исполнения бюджетных обязательств (исправлено во время проверки);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-  операции по внутреннему перемещению основных средств в сумме 24,9 тыс. рублей не правомерно включены в отчетность ф. 0503121 «Отчет о финансовых результатах деятельности» и ф. 0503168 «Сведения о движении нефинансовых активов». Необходимые исправления внесены в отчетность во время проведения проверки и на сводную бюджетную отчетность не повлияли (исправлено во время проверки).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в управлении сельского хозяйства муниципального района: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-  в нарушение п. 155 Инструкции 191н  в  графе 1 Таблицы 3 «Сведения об исполнении текстовых статей закона (решения) о бюджете» пояснительной записки не отражена информация статьи 6 Решения о бюджете по реструктуризации кредиторской задолженности юридических лиц по пеням и штрафам в части сельскохозяйственных товаропроизводителей;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- в нарушение п.162 Инструкции 191н в графе 5 ф. 0503163 « 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 причины внесенных изменений в бюджетную роспись показаны без указания ссылки на правовые основания их внесения (статьи Бюджетного  кодекса РФ,  решения о бюджете);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- в графе 3 отчета ф. 0503177 «Сведения об использовании информационно-коммуникационных технологий» не указаны коды расходов бюджетной классификации, по которым были осуществлены мероприятия, в графе 5 не указаны конкретные цели произведенных расходов.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в Отделе образования муниципального района: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- информация в Таблице № 2 «Сведения о мерах по повышению эффективности» содержит  реквизиты распорядительного документа Министерства финансов Российской Федерации  13.06.1995 № 49 «Об утверждении методических указаний по инвентаризации имущества и финансовых обязательств», который не является распорядительным документом  Отдела образования и не должен отражаться в данной форме бюджетной отчетности (п. 154 Инструкции 191н);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- в таблице № 7 «Сведения о результатах внешних контрольных мероприятий» в графах 1-5 указаны сведения  о проверке Контрольно-сетной палаты муниципального района, которые заполнять не следовало, так как в Отделе образования проверка не проводилась, а представлялась бюджетная отчетность и проводилась ее экспертиза,  которая является экспертно-аналитическим мероприятием, а не мероприятием по внешнему контролю (пункт 159 Инструкции № 191н);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в комитете культуры и спорта муниципального района: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- в нарушение п.163 Инструкции 191н  в  ф. 0503164 «Сведения об исполнении бюджета» пояснительной записки  по</w:t>
      </w:r>
      <w:r w:rsidRPr="00D87BD4">
        <w:rPr>
          <w:rFonts w:ascii="Helvetica" w:eastAsia="Times New Roman" w:hAnsi="Helvetica" w:cs="Helvetica"/>
          <w:color w:val="444444"/>
          <w:sz w:val="16"/>
          <w:lang w:eastAsia="ru-RU"/>
        </w:rPr>
        <w:t> </w:t>
      </w:r>
      <w:hyperlink r:id="rId4" w:history="1">
        <w:r w:rsidRPr="00D87BD4">
          <w:rPr>
            <w:rFonts w:ascii="Helvetica" w:eastAsia="Times New Roman" w:hAnsi="Helvetica" w:cs="Helvetica"/>
            <w:color w:val="0066CC"/>
            <w:sz w:val="16"/>
            <w:u w:val="single"/>
            <w:lang w:eastAsia="ru-RU"/>
          </w:rPr>
          <w:t>раздел</w:t>
        </w:r>
      </w:hyperlink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у 1 «Доходы» не сформированы показатели, по которым исполнение на отчетную дату не соответствуют плановым показателям, в том числе, по которым прогнозные показатели отсутствуют;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- в нарушение пункта 155 Инструкции 190н  данные Таблицы 3 «Сведения об     исполнении текстовых статей закона (решения) о бюджете» не отражают информации: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lastRenderedPageBreak/>
        <w:t> по исполнению текстовой статьи 10 «Бюджетные ассигнования бюджета муниципального района на 2012 год и плановый период 2013 и 2014 годов» в части публичных нормативных обязательств,  также отсутствует информация о результате исполнения данной статьи решения о бюджете;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 по исполнению статей бюджета 5 «Главные администраторы доходов и главные администраторы источников финансирования дефицита бюджета муниципального района» и 8 «Особенности использования средств, поступающих во временное распоряжение получателей средств бюджета муниципального района» в части объемов произведенных расходов и результатах исполнения.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 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 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 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 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Проверка организации ведения бюджетного учета у ГРБС как получателя бюджетных средств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Проверка организации ведения бюджетного учета  у главных распорядителей бюджетных средств, как у получателей бюджетных средств, проводилась в комитете культуры и спорта муниципального района и комитете финансов муниципального района.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Проверка показала, что бухгалтерский учет по исполнению сметы расходов в проверяемых учреждениях осуществляется в соответствии  с Бюджетным кодексом РФ, Приказом  Министерства финансов Российской Федерации от 01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  (муниципальных) учреждений и инструкции по его применению» (далее- Инструкция 157н), Приказом  Министерства финансов Российской Федерации от 06 декабря 2010 года № 162н "Об утверждении Плана счетов бюджетного учета и Инструкции по его применению" и иных нормативно-правовых документов.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Приказами учреждений утверждена учетная политика, регламентирующая их деятельность в области бухгалтерского учета и налогообложения.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Инвентаризация имущества и финансовых обязательств проведена в установленные сроки и в полном объеме. Результаты инвентаризации оформлены в соответствии с «Методическими указаниями по инвентаризации имущества и финансовых обязательств», утвержденные Приказом МФ РФ от 13.06.1995 № 49. По результатам проведенной инвентаризации, расхождений  по данным бухгалтерского учета и фактического наличия материальных ценностей не выявлено.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Учет операций с бюджетными ассигнованиями, лимитами бюджетных обязательств,  принятыми бюджетными и денежными обязательствами осуществляется на соответствующих счетах, предусмотренных  Инструкцией № 157н и Инструкцией № 162н.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Показатели  форм бюджетной отчетности соответствуют показателям Главной книги ГРБС, оборотам и остаткам  регистров аналитического учета.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Внутриведомственный финансовый контроль  урегулирован.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lastRenderedPageBreak/>
        <w:t> 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Выводы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 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1. Внешняя проверка бюджетной отчетности показала, что бюджетная  отчетность сформирована ГРБС в полном объеме  и представлена в установленный срок. Вместе с тем, установлены факты, повлиявшие на достоверность отдельных показателей бюджетной отчетности на  сумму</w:t>
      </w:r>
      <w:r w:rsidRPr="00D87BD4">
        <w:rPr>
          <w:rFonts w:ascii="Helvetica" w:eastAsia="Times New Roman" w:hAnsi="Helvetica" w:cs="Helvetica"/>
          <w:color w:val="444444"/>
          <w:sz w:val="16"/>
          <w:lang w:eastAsia="ru-RU"/>
        </w:rPr>
        <w:t> </w:t>
      </w: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974,9  тыс. рублей</w:t>
      </w:r>
      <w:r w:rsidRPr="00D87BD4">
        <w:rPr>
          <w:rFonts w:ascii="Helvetica" w:eastAsia="Times New Roman" w:hAnsi="Helvetica" w:cs="Helvetica"/>
          <w:b/>
          <w:bCs/>
          <w:color w:val="444444"/>
          <w:sz w:val="16"/>
          <w:lang w:eastAsia="ru-RU"/>
        </w:rPr>
        <w:t> </w:t>
      </w: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(в сумме 24,9 тыс. рублей исправления внесены во время проверки).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2. В ходе проверок ГРБС установлены иные нарушения и недостатки: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2.1. Нарушение процедур по составлению и ведению бюджетной росписи, бюджетных смет получателей бюджетных средств: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- показатели</w:t>
      </w:r>
      <w:r w:rsidRPr="00D87BD4">
        <w:rPr>
          <w:rFonts w:ascii="Helvetica" w:eastAsia="Times New Roman" w:hAnsi="Helvetica" w:cs="Helvetica"/>
          <w:color w:val="444444"/>
          <w:sz w:val="16"/>
          <w:lang w:eastAsia="ru-RU"/>
        </w:rPr>
        <w:t> </w:t>
      </w: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сводной</w:t>
      </w:r>
      <w:r w:rsidRPr="00D87BD4">
        <w:rPr>
          <w:rFonts w:ascii="Helvetica" w:eastAsia="Times New Roman" w:hAnsi="Helvetica" w:cs="Helvetica"/>
          <w:color w:val="444444"/>
          <w:sz w:val="16"/>
          <w:lang w:eastAsia="ru-RU"/>
        </w:rPr>
        <w:t> </w:t>
      </w: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бюджетной росписи на очередной финансовый год и плановый период Комитету финансов, как главному администратору источников финансирования дефицита бюджета, не доводились, справки-уведомления об изменении росписи источников финансирования  дефицита бюджета не выписывались;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- в Порядке взаимодействия комитета культуры и спорта и подведомственных получателей бюджетных средств по составлению и ведению бюджетной росписи отсутствует информация,  когда и кем должна быть утверждена роспись, в течение, какого времени она должна быть доведена до подведомственных получателей.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2.2. Нарушения и недостатки при составлении бюджетной отчетности: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- в нарушение  абзаца 7 пункта 55 Инструкции 191н по строке 520 раздела 111 «Источники финансирования дефицитов бюджетов» формы 0503127 в графе 4 Комитетом финансов  не отражены общие суммы утвержденных бюджетных назначений по поступлениям источников внутреннего финансирования дефицита   бюджета в сумме</w:t>
      </w:r>
      <w:r w:rsidRPr="00D87BD4">
        <w:rPr>
          <w:rFonts w:ascii="Helvetica" w:eastAsia="Times New Roman" w:hAnsi="Helvetica" w:cs="Helvetica"/>
          <w:color w:val="444444"/>
          <w:sz w:val="16"/>
          <w:lang w:eastAsia="ru-RU"/>
        </w:rPr>
        <w:t> </w:t>
      </w: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950,0 тыс. рублей;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     </w:t>
      </w:r>
      <w:r w:rsidRPr="00D87BD4">
        <w:rPr>
          <w:rFonts w:ascii="Helvetica" w:eastAsia="Times New Roman" w:hAnsi="Helvetica" w:cs="Helvetica"/>
          <w:b/>
          <w:bCs/>
          <w:color w:val="444444"/>
          <w:sz w:val="16"/>
          <w:lang w:eastAsia="ru-RU"/>
        </w:rPr>
        <w:t> </w:t>
      </w: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    -  операции по внутреннему перемещению основных средств в комитете социальной защиты населения в сумме</w:t>
      </w:r>
      <w:r w:rsidRPr="00D87BD4">
        <w:rPr>
          <w:rFonts w:ascii="Helvetica" w:eastAsia="Times New Roman" w:hAnsi="Helvetica" w:cs="Helvetica"/>
          <w:color w:val="444444"/>
          <w:sz w:val="16"/>
          <w:lang w:eastAsia="ru-RU"/>
        </w:rPr>
        <w:t> </w:t>
      </w: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 xml:space="preserve">24,9 тыс. </w:t>
      </w:r>
      <w:proofErr w:type="spellStart"/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рублей</w:t>
      </w: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не</w:t>
      </w:r>
      <w:proofErr w:type="spellEnd"/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 xml:space="preserve"> правомерно включены в отчетность ф. 0503121 «Отчет о финансовых результатах деятельности» и ф. 0503168 «Сведения о движении нефинансовых активов» (исправления внесены во время проверки).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2.3.</w:t>
      </w:r>
      <w:r w:rsidRPr="00D87BD4">
        <w:rPr>
          <w:rFonts w:ascii="Helvetica" w:eastAsia="Times New Roman" w:hAnsi="Helvetica" w:cs="Helvetica"/>
          <w:i/>
          <w:iCs/>
          <w:color w:val="444444"/>
          <w:sz w:val="16"/>
          <w:lang w:eastAsia="ru-RU"/>
        </w:rPr>
        <w:t> </w:t>
      </w: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Установлены недостатки при формировании форм бюджетной отчетности, форм и таблиц пояснительной записки к годовому отчету (Таблицы 2, 3, 7, ф. 0503121, 0503163, 0503164, 0503168,  0503177).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 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Предложения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 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 1. В целях устранения и недопущения в дальнейшем выявленных нарушений и недостатков предлагается провести мероприятия: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- по усилению контроля за достоверным формированием бюджетной отчетности в соответствии с требованиями нормативных правовых актов Министерства финансов Российской Федерации и не допущению фактов искажения бюджетной отчетности (всем ГРБС);</w:t>
      </w:r>
    </w:p>
    <w:p w:rsidR="00D87BD4" w:rsidRPr="00D87BD4" w:rsidRDefault="00D87BD4" w:rsidP="00D87BD4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  <w:t>- По  составлению и ведению бюджетной росписи и приведения их в соответствие с требованиями Порядка составления сводной бюджетной росписи, бюджетных росписей ГРБС (комитет культуры и спорта  муниципального района, комитет финансов муниципального района).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lastRenderedPageBreak/>
        <w:t> </w:t>
      </w:r>
    </w:p>
    <w:p w:rsidR="00D87BD4" w:rsidRPr="00D87BD4" w:rsidRDefault="00D87BD4" w:rsidP="00D87BD4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6"/>
          <w:szCs w:val="16"/>
          <w:lang w:eastAsia="ru-RU"/>
        </w:rPr>
      </w:pPr>
      <w:r w:rsidRPr="00D87BD4">
        <w:rPr>
          <w:rFonts w:ascii="Helvetica" w:eastAsia="Times New Roman" w:hAnsi="Helvetica" w:cs="Helvetica"/>
          <w:b/>
          <w:bCs/>
          <w:color w:val="444444"/>
          <w:sz w:val="16"/>
          <w:szCs w:val="16"/>
          <w:bdr w:val="none" w:sz="0" w:space="0" w:color="auto" w:frame="1"/>
          <w:lang w:eastAsia="ru-RU"/>
        </w:rPr>
        <w:t> Ведущий инспектор                                                               Е.А. Исакова</w:t>
      </w:r>
    </w:p>
    <w:p w:rsidR="002F0C19" w:rsidRDefault="002F0C19"/>
    <w:sectPr w:rsidR="002F0C19" w:rsidSect="002F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D87BD4"/>
    <w:rsid w:val="002F0C19"/>
    <w:rsid w:val="00D8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19"/>
  </w:style>
  <w:style w:type="paragraph" w:styleId="2">
    <w:name w:val="heading 2"/>
    <w:basedOn w:val="a"/>
    <w:link w:val="20"/>
    <w:uiPriority w:val="9"/>
    <w:qFormat/>
    <w:rsid w:val="00D87B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7B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BD4"/>
  </w:style>
  <w:style w:type="character" w:styleId="a4">
    <w:name w:val="Hyperlink"/>
    <w:basedOn w:val="a0"/>
    <w:uiPriority w:val="99"/>
    <w:semiHidden/>
    <w:unhideWhenUsed/>
    <w:rsid w:val="00D87B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ffline/ref=AB3937286F007BA095C04D7B54664E2AE917B47E9F147EB693D94CA2949F0F593DABE3EE76E7DB1FoCR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2155</Words>
  <Characters>12289</Characters>
  <Application>Microsoft Office Word</Application>
  <DocSecurity>0</DocSecurity>
  <Lines>102</Lines>
  <Paragraphs>28</Paragraphs>
  <ScaleCrop>false</ScaleCrop>
  <Company>Microsoft</Company>
  <LinksUpToDate>false</LinksUpToDate>
  <CharactersWithSpaces>14416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2019-11-21T09:31:00Z</dcterms:created>
  <dcterms:modified xsi:type="dcterms:W3CDTF">2019-11-21T09:31:00Z</dcterms:modified>
</cp:coreProperties>
</file>