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A7" w:rsidRPr="00A944A7" w:rsidRDefault="00A944A7" w:rsidP="00A944A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АКТ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внешней проверки годовой бюджетной отчетности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главного администратора бюджетных средств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комитета финансов </w:t>
      </w:r>
      <w:proofErr w:type="spellStart"/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 xml:space="preserve"> муниципального района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lang w:eastAsia="ru-RU"/>
        </w:rPr>
        <w:t>за 2013 год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п. Парфино                                                                                13 марта  2014 года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 основании статьи 264.4 Бюджетного кодекса Российской Федерации,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Положения о бюджетном процессе в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районе, утверждённого решением Думы муниципального района от 30 октября 2013 года N 193, Положения о Контрольно-счетной палате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утвержденного  решением Думы 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  от 30.11.2011 г. № 78, плана работы Контрольно-счетной палаты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(далее- Контрольно-счетная палата) на 2014 год,  проведена внешняя проверка годового отчета комитета финансов  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за 2013 год (далее – Комитет финансов).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Целью  внешней   проверки является: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1. Установить степень полноты бюджетной отчетности за 2013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 Оценить достоверность показателей бюджетной отчетности за 2013 год.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Предмет внешней проверки: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Бюджетная отчетность за 2013 год главного распорядителя бюджетных средств (ГРБС) – Комитета финансов  в составе: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 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справка по заключению счетов бюджетного учета отчетного финансового года   (ф. 0503110);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отчет о финансовых результатах деятельности (ф. 0503121);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- отчет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-отчет о принятых бюджетных обязательствах (0503128);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-пояснительная записка (ф. 0503160) с приложениями</w:t>
      </w:r>
      <w:r w:rsidRPr="00A944A7">
        <w:rPr>
          <w:rFonts w:ascii="Helvetica" w:eastAsia="Times New Roman" w:hAnsi="Helvetica" w:cs="Helvetica"/>
          <w:i/>
          <w:iCs/>
          <w:color w:val="444444"/>
          <w:sz w:val="16"/>
          <w:szCs w:val="16"/>
          <w:bdr w:val="none" w:sz="0" w:space="0" w:color="auto" w:frame="1"/>
          <w:lang w:eastAsia="ru-RU"/>
        </w:rPr>
        <w:t>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Лица, ответственные за подготовку, формирование и предоставление отчетности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Председатель комитета финансов муниципального района О.В. Михайлова, начальник отдела  бухгалтерского учета, отчетности и контрольно-ревизионной работы  - главный бухгалтер Т.О. Маслова.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Лица, осуществляющие внешнюю проверку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Председатель Контрольно-счетной палаты муниципального района Е.В. Сорокина, ведущий инспектор Е.А. Исакова.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Результаты внешней проверки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 Общие сведения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Комитет финансов создан  Думой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является отраслевым органом местного самоуправления муниципального района, выполняющим муниципальные функции  и реализующим полномочия по проведению единой финансовой и бюджетной  политики на территории муниципального района. Комитет финансов  является юридическим лицом, осуществляет свою деятельность на основании положения, утвержденного решением Думы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от 28.04.2011 № 44.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Основная цель деятельности Комитета финансов - обеспечение социального и экономического развития муниципального района, повышение результативности расходов бюджета, ориентация на приоритетные направления социально-экономического развития муниципального района, а также предотвращение нарушений бюджетного законодательства.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решением Думы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от 28.11.2013 №138 «О бюджете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на 2013 год и на плановый период 2014 и 2015 годов» (далее – решение о бюджете) комитет финансов наделен полномочиями администратора доходов бюджета муниципального района.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Анализ исполнения бюджетных назначений по доходам и расходам в 2013 году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Исполнение доходов, 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администрируемых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 Комитетом финансов, в разрезе  кодов доходов  в 2013 году характеризуется следующими данными: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(Тыс.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214"/>
        <w:gridCol w:w="1361"/>
        <w:gridCol w:w="1362"/>
        <w:gridCol w:w="1362"/>
        <w:gridCol w:w="1690"/>
        <w:gridCol w:w="1690"/>
      </w:tblGrid>
      <w:tr w:rsidR="00A944A7" w:rsidRPr="00A944A7" w:rsidTr="00A944A7">
        <w:tc>
          <w:tcPr>
            <w:tcW w:w="29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24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Факт 2012 года</w:t>
            </w:r>
          </w:p>
        </w:tc>
        <w:tc>
          <w:tcPr>
            <w:tcW w:w="5565" w:type="dxa"/>
            <w:gridSpan w:val="4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2013 год</w:t>
            </w:r>
          </w:p>
        </w:tc>
      </w:tr>
      <w:tr w:rsidR="00A944A7" w:rsidRPr="00A944A7" w:rsidTr="00A944A7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944A7" w:rsidRPr="00A944A7" w:rsidRDefault="00A944A7" w:rsidP="00A944A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944A7" w:rsidRPr="00A944A7" w:rsidRDefault="00A944A7" w:rsidP="00A944A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%</w:t>
            </w:r>
          </w:p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исполнения к плану 2013г.</w:t>
            </w:r>
          </w:p>
        </w:tc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Темп роста (снижения) к факту 2012 года</w:t>
            </w:r>
          </w:p>
        </w:tc>
      </w:tr>
      <w:tr w:rsidR="00A944A7" w:rsidRPr="00A944A7" w:rsidTr="00A944A7">
        <w:tc>
          <w:tcPr>
            <w:tcW w:w="29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582,9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41,4</w:t>
            </w:r>
          </w:p>
        </w:tc>
      </w:tr>
      <w:tr w:rsidR="00A944A7" w:rsidRPr="00A944A7" w:rsidTr="00A944A7">
        <w:tc>
          <w:tcPr>
            <w:tcW w:w="29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233812,3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301024,1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298375,1</w:t>
            </w:r>
          </w:p>
        </w:tc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127,6</w:t>
            </w:r>
          </w:p>
        </w:tc>
      </w:tr>
      <w:tr w:rsidR="00A944A7" w:rsidRPr="00A944A7" w:rsidTr="00A944A7">
        <w:tc>
          <w:tcPr>
            <w:tcW w:w="29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234395,2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301257,0</w:t>
            </w:r>
          </w:p>
        </w:tc>
        <w:tc>
          <w:tcPr>
            <w:tcW w:w="12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298616,5</w:t>
            </w:r>
          </w:p>
        </w:tc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99,2</w:t>
            </w:r>
          </w:p>
        </w:tc>
        <w:tc>
          <w:tcPr>
            <w:tcW w:w="15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127,4</w:t>
            </w:r>
          </w:p>
        </w:tc>
      </w:tr>
    </w:tbl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2013 году поступили доходы в сумме 298616,5 тыс. рублей или 99,2 процента к установленным плановым назначениям. Неналоговые доходы  исполнены в 2013 году на 103,6 процента. Удельный вес их в общем объёме поступивших  доходов не значителен (0,08%) и на исполнение доходной части в целом значительного влияния не оказал. Наибольший удельный вес в структуре доходов (99,92 %) занимают безвозмездные поступления (дотации, субсидии, субвенции), исполнение по которым составило 99,1 процента, в связи с тем, что фактическая потребность средств, выделенных из областного бюджета, меньше, чем предусмотрено    плановыми ассигнованиями.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Комитет финансов являлся в 2013 году главным распорядителем бюджетных средств по разделам классификации расходов бюджета: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01 00 «Общегосударственные вопросы»;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02 00 «Национальная оборона»;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0400 «Национальная экономика»;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05 00 «Жилищно-коммунальное хозяйство»;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07 00 «Образование»;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13 00 «Обслуживание государственного и муниципального долга»;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1400 «Межбюджетные трансферты бюджетам субъектов Российской Федерации и муниципальных образований общего характера».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решением Думы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 от 25 декабря 2013 года № 206 «О внесении изменений в решение    Думы   муниципального района от 28.11.2012 № 138» Комитету финансов, как главному распорядителю бюджетных средств, предусмотрены ассигнования на 2013 год в размере 79200,1 тыс. рублей, что  соответствует показателям ф. 0503127 годовой бюджетной отчетности.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Исполнение бюджетных показателей Комитета финансов по расходам характеризуется следующими данными: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(тыс. рублей)</w:t>
      </w:r>
    </w:p>
    <w:tbl>
      <w:tblPr>
        <w:tblW w:w="1067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579"/>
        <w:gridCol w:w="1299"/>
        <w:gridCol w:w="1299"/>
        <w:gridCol w:w="1299"/>
        <w:gridCol w:w="1299"/>
        <w:gridCol w:w="1452"/>
        <w:gridCol w:w="1452"/>
      </w:tblGrid>
      <w:tr w:rsidR="00A944A7" w:rsidRPr="00A944A7" w:rsidTr="00A944A7">
        <w:tc>
          <w:tcPr>
            <w:tcW w:w="226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</w:t>
            </w:r>
          </w:p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 2012 г.</w:t>
            </w: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Плановые назначения  2013 г.</w:t>
            </w:r>
          </w:p>
        </w:tc>
        <w:tc>
          <w:tcPr>
            <w:tcW w:w="114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Исполнено в 2013 году</w:t>
            </w:r>
          </w:p>
        </w:tc>
        <w:tc>
          <w:tcPr>
            <w:tcW w:w="2415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Процент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Уд. вес в общем объеме расходов</w:t>
            </w:r>
          </w:p>
        </w:tc>
      </w:tr>
      <w:tr w:rsidR="00A944A7" w:rsidRPr="00A944A7" w:rsidTr="00A944A7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944A7" w:rsidRPr="00A944A7" w:rsidRDefault="00A944A7" w:rsidP="00A944A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944A7" w:rsidRPr="00A944A7" w:rsidRDefault="00A944A7" w:rsidP="00A944A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944A7" w:rsidRPr="00A944A7" w:rsidRDefault="00A944A7" w:rsidP="00A944A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A944A7" w:rsidRPr="00A944A7" w:rsidRDefault="00A944A7" w:rsidP="00A944A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плану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 исполнению 2012 года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A944A7" w:rsidRPr="00A944A7" w:rsidRDefault="00A944A7" w:rsidP="00A944A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</w:p>
        </w:tc>
      </w:tr>
      <w:tr w:rsidR="00A944A7" w:rsidRPr="00A944A7" w:rsidTr="00A944A7"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7</w:t>
            </w:r>
          </w:p>
        </w:tc>
      </w:tr>
      <w:tr w:rsidR="00A944A7" w:rsidRPr="00A944A7" w:rsidTr="00A944A7"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 6687,7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10847,6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10844,2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13,7</w:t>
            </w:r>
          </w:p>
        </w:tc>
      </w:tr>
      <w:tr w:rsidR="00A944A7" w:rsidRPr="00A944A7" w:rsidTr="00A944A7"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600,3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654,3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654,4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0,8</w:t>
            </w:r>
          </w:p>
        </w:tc>
      </w:tr>
      <w:tr w:rsidR="00A944A7" w:rsidRPr="00A944A7" w:rsidTr="00A944A7"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4532,4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5398,0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5389,2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99,84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118,9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6,8</w:t>
            </w:r>
          </w:p>
        </w:tc>
      </w:tr>
      <w:tr w:rsidR="00A944A7" w:rsidRPr="00A944A7" w:rsidTr="00A944A7"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33219,5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34530,4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34516,6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43,6</w:t>
            </w:r>
          </w:p>
        </w:tc>
      </w:tr>
      <w:tr w:rsidR="00A944A7" w:rsidRPr="00A944A7" w:rsidTr="00A944A7"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0,1</w:t>
            </w:r>
          </w:p>
        </w:tc>
      </w:tr>
      <w:tr w:rsidR="00A944A7" w:rsidRPr="00A944A7" w:rsidTr="00A944A7"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261,2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400,6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400,6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0,5</w:t>
            </w:r>
          </w:p>
        </w:tc>
      </w:tr>
      <w:tr w:rsidR="00A944A7" w:rsidRPr="00A944A7" w:rsidTr="00A944A7"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24445,0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27324,2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27324,2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24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34,5</w:t>
            </w:r>
          </w:p>
        </w:tc>
      </w:tr>
      <w:tr w:rsidR="00A944A7" w:rsidRPr="00A944A7" w:rsidTr="00A944A7">
        <w:tc>
          <w:tcPr>
            <w:tcW w:w="226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161" w:lineRule="atLeast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69790,8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79200,1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79174,2</w:t>
            </w:r>
          </w:p>
        </w:tc>
        <w:tc>
          <w:tcPr>
            <w:tcW w:w="114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99,97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113,4</w:t>
            </w:r>
          </w:p>
        </w:tc>
        <w:tc>
          <w:tcPr>
            <w:tcW w:w="12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9" w:type="dxa"/>
              <w:left w:w="115" w:type="dxa"/>
              <w:bottom w:w="69" w:type="dxa"/>
              <w:right w:w="115" w:type="dxa"/>
            </w:tcMar>
            <w:vAlign w:val="bottom"/>
            <w:hideMark/>
          </w:tcPr>
          <w:p w:rsidR="00A944A7" w:rsidRPr="00A944A7" w:rsidRDefault="00A944A7" w:rsidP="00A944A7">
            <w:pPr>
              <w:spacing w:after="0" w:line="360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 w:rsidRPr="00A944A7">
              <w:rPr>
                <w:rFonts w:ascii="Helvetica" w:eastAsia="Times New Roman" w:hAnsi="Helvetica" w:cs="Helvetica"/>
                <w:b/>
                <w:bCs/>
                <w:color w:val="444444"/>
                <w:sz w:val="16"/>
                <w:szCs w:val="16"/>
                <w:bdr w:val="none" w:sz="0" w:space="0" w:color="auto" w:frame="1"/>
                <w:lang w:eastAsia="ru-RU"/>
              </w:rPr>
              <w:t>100,0</w:t>
            </w:r>
          </w:p>
        </w:tc>
      </w:tr>
    </w:tbl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Расходная часть    в 2013 году исполнена в сумме 79174,2 тыс. рублей, что составляет  99,9 процента от  утвержденных плановых показателей и 113,4 процента к исполнению 2012 года. Значительно увеличились расходы к уровню 2012 года по разделу «Общегосударственные вопросы» и составили 10844,2 тыс. рублей или 162,2 процента. Данный рост обусловлен  увеличением расходов на оплату труда и страховые взносы на 5,1 процента и увеличением объема субсидий по возмещению налога на прибыль предоставленных организациям, осуществляющим свою  деятельность на территории района в 7,6 раза.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Наибольший удельный вес - 43,6 процента или 34,5 млн. рублей,  в общем объеме расходов Комитета финансов занимает отрасль «Жилищно-коммунальное хозяйство». По данному  разделу направлялись межбюджетные трансферты (субсидии и субвенции):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- бюджету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городского поселения по областной целевой программе «Переселение граждан, проживающих в Новгородской области, из многоквартирных домов, признанных аварийными и подлежащими сносу или реконструкции, в 2010-2015 годах»  в сумме 1099,7 тыс. рублей и областной целевой программе «Капитальный ремонт многоквартирных домов, управление которыми осуществляют товарищества собственников жилья, расположенных на территории Новгородской области, в 2011-2013 годах» в сумме 990,0 тыс. рублей;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 xml:space="preserve">- бюджету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Федорковского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сельского поселения по  областной целевой программе «Комплексное развитие инфраструктуры водоснабжения и водоотведения в Новгородской области на 2011-2015 годы» в  сумме 900,0 тыс. рублей;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- субвенции бюджетам поселений на выполнение полномочий по компенсации выпадающих доходов организациям, предоставляющим коммунальные услуги по тарифам для населения, установленным органами исполнительной власти области в сумме 31389,4тыс. рублей.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Анализ сведений об исполнении мероприятий в рамках  целевых программ (ф.0503166) показал, что они исполнены  в сумме 6863,4 тыс. рублей  (план 6882,4 тыс. рублей) или 99,7 процента. Удельный вес расходов по целевым программам составил 8,7  процентов в общем объеме расходов Комитета финансов.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</w:t>
      </w:r>
      <w:r w:rsidRPr="00A944A7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Проверка правильности составления, ведения бюджетной росписи, включая внесение в нее изменений.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Комитет финансов  выполняет бюджетные полномочия главного распорядителя бюджетных средств, в соответствии со ст. 158 Бюджетного Кодекса Российской Федерации  самостоятельно составляет, утверждает и ведет бюджетную роспись, распределяет бюджетные ассигнования, лимиты бюджетных обязательств и исполняет соответствующую часть бюджета.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Приказом Комитета финансов от 28.12.2012 № 130 «Об утверждении порядка составления, утверждения и ведения бюджетной росписи  и лимитов бюджетных обязательств по главе 792 «Комитет финансов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района» (далее- Порядок) утвержден порядок составления и ведения  бюджетной росписи и лимитов бюджетных обязательств по комитету финансов. Роспись расходов  на 2013 год утверждена 27.12.2012 года председателем Комитета финансов и соответствует показателям решения о бюджете.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        В нарушение пункта 5 раздела 111 Порядка составления и ведения  сводной бюджетной росписи  бюджета муниципального района и бюджетных росписей главных распорядителей, получателей средств бюджета муниципального района (главных администраторов источников финансирования дефицита бюджета муниципального района), утвержденного приказом Комитета финансов от 16.12.2010 № 91(далее - Порядок составления и ведения  сводной бюджетной росписи), показатели</w:t>
      </w:r>
      <w:r w:rsidRPr="00A944A7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сводной</w:t>
      </w:r>
      <w:r w:rsidRPr="00A944A7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росписи на очередной финансовый год и плановый период Комитету финансов, как главному администратору источников финансирования дефицита бюджета, не доводились, справки-уведомления об изменении росписи источников финансирования  дефицита бюджета не выписывались. В связи с этим, в нарушение пункта 4 Порядка, отделом бухгалтерского учета, отчетности и контрольно-ревизионной работы роспись источников внутреннего финансирования дефицита бюджета не велась.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Ведение бюджетной росписи по расходам и лимитам бюджетных обязательств осуществлялось  посредством внесения изменений в показатели бюджетной росписи и лимиты бюджетных обязательств на основании справок об изменении  сводной бюджетной росписи и лимитов бюджетных обязательств, которые, в свою очередь, составлялись на основании письменных заявлений Комитета финансов.  По уменьшаемым бюджетным ассигнованиям  принимались письменные обязательства  главного распорядителя, получателя бюджетных средств о недопущении просроченной кредиторской задолженности.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Анализ степени полноты бюджетной отчетности главного распорядителя бюджетных средств, ее соответствие требованиям нормативных правовых актов по составу и содержанию. Проверка  достоверности и внутренней согласованности форм бюджетной отчетности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 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Бюджетная отчетность за 2013  составлена с использованием программного продукта «Парус-Бюджет 7хх».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Предоставленная  бюджетная отчетность Комитета финансов, подписана  председателем и главным бухгалтером  в соответствии с п. 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 соответствии с п. 2 ст.30 Положения о бюджетном процессе в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Парфинском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муниципальном районе Комитет финансов, как главный администратор средств бюджета муниципального района,  представил бюджетную отчетность в Контрольно-счетную палату, включающую в себя формы документов, определенные   бюджетным законодательством,  в установленный срок. Документы предоставлены в сброшюрованном и пронумерованном виде (п.4 Инструкции №191н). Дополнительные формы бюджетной отчетности не устанавливались.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Проверка бюджетной отчетности Комитета финансов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проверке  достоверности показателей форм бюджетной отчетности установлено, что в нарушение  абзаца 7 пункта 55 Инструкции 191н по строке 520 раздела 111 «Источники финансирования дефицитов бюджетов» формы 0503127 в графе 4 Комитетом финансов  не отражены общие суммы утвержденных бюджетных назначений по поступлениям источников внутреннего финансирования дефицита   бюджета в сумме</w:t>
      </w:r>
      <w:r w:rsidRPr="00A944A7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950,0 тыс. рублей</w:t>
      </w: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соответствии с отчетом ф. 0503128 «Отчет о принятых бюджетных обязательствах» Комитетом финансов приняты бюджетные обязательства в объеме 79197,1 тыс. рублей, то есть в пределах, утвержденных на 2013 год лимитов бюджетных обязательств  (79200,1 тыс. рублей), что не нарушает положений пункта 3 статьи 219 Бюджетного Кодекса Российской Федерации.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 По данным ф. 0503169 «Сведения о дебиторской и кредиторской задолженности» имеет место дебиторская задолженность по счету 120551000 «Расчеты поступлениям от других бюджетов бюджетной системы» - задолженность  по полученным, но не использованным межбюджетным трансфертам  на конец отчетного года  в сумме 4606,5 тыс. рублей, которая отражена в разделе 1 вышеуказанной формы со знаком «минус».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Дебиторская  задолженность по кредитам, предоставленным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сельхозтоваропроизводителям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  муниципального района, составляет 374,5 тыс. рублей и по сравнению с показателями на конец прошлого года не изменилась (ф. 0503172). Задолженность по  бюджетным кредитам для частичного покрытия дефицита бюджета муниципального района значится на конец отчётного периода в  сумме 17267,0 тыс. рублей (на начало 18217,0 тыс. рублей). Долговые обязательства муниципального района уменьшились по сравнению с прошлым годом на 950,0  тыс. рублей   (5,2%).  На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забалансовом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счете в Комитете финансов числится задолженность по муниципальным гарантиям в объеме 1818,1 тыс. рублей  сроки, гашения которых с 25.12.2014 года по 25.12.2017 года.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При сверке показателей между различными формами бюджетной отчетности расхождений не выявлено.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Данные бюджетной отчетности Комитета финансов по доходам и расходам были сверены с данными «Отчета по поступлениям и выбытиям» органа, осуществляющего кассовое обслуживание исполнения бюджета»  (ф. 0503151). Расхождений не выявлено.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Текстовая часть  пояснительной записки   во всех необходимых аспектах отражает информацию о деятельности Комитета финансов, а также содержит необходимые характеристики финансовых показателей бюджетной отчетности.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Проверка организации ведения бюджетного учета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Бухгалтерский учет по исполнению сметы расходов на содержание Комитета осуществляется в соответствии  с Бюджетным кодексом РФ, Приказом  Министерства финансов Российской Федерации от 01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  (муниципальных) учреждений и инструкции по его применению» (далее- Инструкция 157н), Приказом  Министерства финансов Российской Федерации от 06 декабря 2010 года № 162н "Об утверждении Плана счетов бюджетного учета и Инструкции по его применению".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Учетная политика Комитета финансов утверждена приказом от 28.12.2012 № 129 «Об утверждении учетной политики комитета финансов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района» (далее- приказ по учетной политике).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На основании приказа от 28.11.2013 года № 90 «О проведении инвентаризации» в комитете проведена инвентаризация имущества, денежных средств и расчетов по состоянию на 01 декабря 2013 года.  Результаты инвентаризации оформлены в соответствии с методическими указаниями по инвентаризации имущества и финансовых обязательств, утвержденные Приказом МФ РФ от 13.06.1995 № 49 «Об утверждении методических указаний по инвентаризации имущества и финансовых обязательств». По результатам проведенной инвентаризации, расхождений  по данным бухгалтерского учета и фактического наличия материальных ценностей не выявлено.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Порядок отражения операций по исполнению бюджета на счетах бюджетного учета в Комитете ведется в соответствии с требованиями, утвержденными  Инструкцией 157н.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Учет операций с бюджетными ассигнованиями, лимитами бюджетных обязательств,  принятыми бюджетными и денежными обязательствами, Комитетом финансов осуществляется на соответствующих счетах в журнале операций по санкционированию. Данные главной книги по счету 150115000 «Полученные лимиты бюджетных обязательств», счету 150211000 «Принятые обязательства» и счету 150212000 «Принятые денежные обязательства» соответствуют данным отчета ф. 0503128.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Заключение  счетов текущего учета проведено заключительными оборотами 31 декабря 2013 года. Данные по счетам 121002, 130405,140110 и 140120, отраженные в журналах соответствуют показателям отчета ф. 0503110 «Справка по заключению счетов бюджетного учета отчетного финансового периода».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Внутриведомственный финансовый контроль в комитете финансов осуществляется в соответствии с планом проведения проверок внутреннего контроля (аудита) на 2013  год, утверждённым приказом по учетной политике. Контроль осуществляется уполномоченным на выполнение данных функций работником. В 2013 году в Комитете финансов проведена проверка правильности проведения и оформления результатов инвентаризации имущества   денежных и </w:t>
      </w: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lastRenderedPageBreak/>
        <w:t>финансовых обязательств, по результатам которой оформлен акт от 10.12.2013 года. Во время проверки выявлен факт нарушения п.2 ст.296 Гражданского Кодекса Российской Федерации в части оперативного управления недвижимым имуществом (здание гаража).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Заключение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1. Комитет финансов создан  Думой </w:t>
      </w:r>
      <w:proofErr w:type="spellStart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Парфинского</w:t>
      </w:r>
      <w:proofErr w:type="spellEnd"/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 xml:space="preserve"> муниципального района, является отраслевым органом местного самоуправления муниципального района,  реализующим полномочия по проведению единой финансовой и бюджетной  политики на территории муниципального района.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2. Бюджетная отчетность предоставлена в Контрольно-счетную палату своевременно и в полном объеме.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3.  Сводной росписью расходов бюджета муниципального района запланированы ассигнования в размере 79200,1 тыс. рублей, что  соответствует показателям ф. 0503127 годового отчета и решению о бюджете муниципального района (статья 217 Бюджетного кодекса Российской Федерации).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4.При сверке показателей между различными формами бюджетной отчетности расхождений не установлено.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5. При проведении внешней проверки установлены следующие нарушения и  недостатки: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1)При составлении и ведении бюджетной росписи: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нарушение статьи 219.2 Бюджетного кодекса Российской Федерации и пункта 5 раздела 111 Порядка составления и ведения  сводной бюджетной росписи, показатели</w:t>
      </w:r>
      <w:r w:rsidRPr="00A944A7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сводной</w:t>
      </w:r>
      <w:r w:rsidRPr="00A944A7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росписи на очередной финансовый год и плановый период Комитету финансов, как главному администратору источников финансирования дефицита бюджета, не доводились, справки-уведомления об изменении сводной росписи по источникам финансирования  дефицита бюджета не выписывались;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нарушение пункта 4 Порядка составления и ведения росписи комитета, отделом бухгалтерского учета, отчетности и контрольно-ревизионной работы роспись источников внутреннего финансирования дефицита бюджета не велась.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2) При проверке  достоверности показателей форм бюджетной отчетности: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в нарушение  абзаца 7 пункта 55 Инструкции 191н по строке 520 раздела 111 «Источники финансирования дефицитов бюджетов» формы 0503127 в графе 4 Комитетом финансов  не отражены общие суммы утвержденных бюджетных назначений по поступлениям источников внутреннего финансирования дефицита   бюджета в сумме</w:t>
      </w:r>
      <w:r w:rsidRPr="00A944A7">
        <w:rPr>
          <w:rFonts w:ascii="Helvetica" w:eastAsia="Times New Roman" w:hAnsi="Helvetica" w:cs="Helvetica"/>
          <w:color w:val="444444"/>
          <w:sz w:val="16"/>
          <w:lang w:eastAsia="ru-RU"/>
        </w:rPr>
        <w:t> </w:t>
      </w: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950,0 тыс. рублей</w:t>
      </w: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.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Контрольно-счетной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палаты  муниципального района                                               Е.В. Сорокина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Ведущий инспектор                                                              Е.А. Исакова           </w:t>
      </w:r>
    </w:p>
    <w:p w:rsidR="00A944A7" w:rsidRPr="00A944A7" w:rsidRDefault="00A944A7" w:rsidP="00A944A7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  <w:t>С актом ознакомлены: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Председатель комитета финансов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lastRenderedPageBreak/>
        <w:t>муниципального района                                                 О.В. Михайлова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Начальник отдела  бухгалтерского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учета, отчетности и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контрольно-ревизионной</w:t>
      </w:r>
    </w:p>
    <w:p w:rsidR="00A944A7" w:rsidRPr="00A944A7" w:rsidRDefault="00A944A7" w:rsidP="00A944A7">
      <w:pPr>
        <w:shd w:val="clear" w:color="auto" w:fill="F9F9F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16"/>
          <w:szCs w:val="16"/>
          <w:lang w:eastAsia="ru-RU"/>
        </w:rPr>
      </w:pPr>
      <w:r w:rsidRPr="00A944A7"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  <w:t> работы  - главный бухгалтер                                               Т.О. Маслова.</w:t>
      </w:r>
    </w:p>
    <w:p w:rsidR="002F0C19" w:rsidRPr="00A944A7" w:rsidRDefault="002F0C19" w:rsidP="00A944A7"/>
    <w:sectPr w:rsidR="002F0C19" w:rsidRPr="00A944A7" w:rsidSect="002F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B66"/>
    <w:multiLevelType w:val="multilevel"/>
    <w:tmpl w:val="4DA0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79C9"/>
    <w:multiLevelType w:val="multilevel"/>
    <w:tmpl w:val="AF96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208CB"/>
    <w:multiLevelType w:val="multilevel"/>
    <w:tmpl w:val="2E22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540E2"/>
    <w:multiLevelType w:val="multilevel"/>
    <w:tmpl w:val="DA3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B3A00"/>
    <w:multiLevelType w:val="multilevel"/>
    <w:tmpl w:val="BBB8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916BC"/>
    <w:multiLevelType w:val="multilevel"/>
    <w:tmpl w:val="D570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87BD4"/>
    <w:rsid w:val="000B45E6"/>
    <w:rsid w:val="000F7F22"/>
    <w:rsid w:val="00292208"/>
    <w:rsid w:val="002F0C19"/>
    <w:rsid w:val="003E535B"/>
    <w:rsid w:val="00856C66"/>
    <w:rsid w:val="00A944A7"/>
    <w:rsid w:val="00C9258D"/>
    <w:rsid w:val="00D87BD4"/>
    <w:rsid w:val="00E6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paragraph" w:styleId="2">
    <w:name w:val="heading 2"/>
    <w:basedOn w:val="a"/>
    <w:link w:val="20"/>
    <w:uiPriority w:val="9"/>
    <w:qFormat/>
    <w:rsid w:val="00D87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BD4"/>
  </w:style>
  <w:style w:type="character" w:styleId="a4">
    <w:name w:val="Hyperlink"/>
    <w:basedOn w:val="a0"/>
    <w:uiPriority w:val="99"/>
    <w:semiHidden/>
    <w:unhideWhenUsed/>
    <w:rsid w:val="00D87BD4"/>
    <w:rPr>
      <w:color w:val="0000FF"/>
      <w:u w:val="single"/>
    </w:rPr>
  </w:style>
  <w:style w:type="character" w:styleId="a5">
    <w:name w:val="Strong"/>
    <w:basedOn w:val="a0"/>
    <w:uiPriority w:val="22"/>
    <w:qFormat/>
    <w:rsid w:val="00856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3099</Words>
  <Characters>17667</Characters>
  <Application>Microsoft Office Word</Application>
  <DocSecurity>0</DocSecurity>
  <Lines>147</Lines>
  <Paragraphs>41</Paragraphs>
  <ScaleCrop>false</ScaleCrop>
  <Company>Microsoft</Company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2019-11-21T09:34:00Z</dcterms:created>
  <dcterms:modified xsi:type="dcterms:W3CDTF">2019-11-21T09:34:00Z</dcterms:modified>
</cp:coreProperties>
</file>