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C5" w:rsidRPr="00E658C5" w:rsidRDefault="00E658C5" w:rsidP="00E658C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АКТ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внешней проверки бюджетной отчетности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главного администратора бюджетных средств  -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Администрации Федорковского сельского поселения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за 2013 год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п. Парфино                                                                           28 февраля 2013 года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На основании статьи 264.4 Бюджетного кодекса Российской Федерации, Положения о бюджетном процессе в Федорковском сельском поселении, утверждённым Советом депутатов сельского поселения от 30 октября 2013 года N 144, Положения о Контрольно-счетной палате Парфинского муниципального района (далее- Контрольно-счетная палата), утвержденным  решением Думы  Парфинского муниципального района  от 30.11.2011 г. №78, плана работы Контрольно-счетной палаты на 2014 год,  проведена внешняя проверка годовой бюджетной отчетности главного администратора бюджетных средств - Администрации Федорковского сельского поселения (далее – Администрация поселения) за 2013 год.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Предмет внешней проверки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Бюджетная отчетность за 2013 год главного администратора бюджетных средств – Администрации Федорковского сельского поселения в составе: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справка по заключению счетов бюджетного учета отчетного финансового года   (ф. 0503110);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-отчет о финансовых результатах деятельности (ф. 0503121);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справка по консолидируемым расчетам (ф.0503125);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отчет об исполнении бюджета главного распорядителя, распорядителя, получателя бюджетных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отчет о принятых бюджетных обязательствах (ф.0503128);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пояснительная записка (ф. 0503160) с приложениями</w:t>
      </w:r>
      <w:r w:rsidRPr="00E658C5">
        <w:rPr>
          <w:rFonts w:ascii="Helvetica" w:eastAsia="Times New Roman" w:hAnsi="Helvetica" w:cs="Helvetica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.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Цель внешней проверки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1. Установить степень полноты бюджетной отчетности за 2013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191н» (в ред.  от 26.10.2012)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2. Оценить достоверность показателей бюджетной отчетности за 2013 год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Лица, ответственные за подготовку, формирование и предоставление отчетности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Глава Федорковского сельского поселения Степанов Б.А., ведущий специалист Емельянова С.В.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       Внешнюю проверку проводили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Председатель Контрольно-счетной палаты муниципального района Е.В. Сорокина, ведущий инспектор Е.А. Исакова.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РЕЗУЛЬТАТЫ ВНЕШНЕЙ ПРОВЕРКИ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Общие сведения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Администрация Федорковского сельского поселения (далее- Администрация поселения) - исполнительно-распорядительный орган Федорковского сельского поселения, осуществляет свою деятельность на основании Устава. Администрация поселения  является юридическим лицом, имеет лицевые счета, открытые в Отделе № 12 Управления Федерального казначейства по Новгородской области. Юридический адрес: Новгородская область, д. Федорково, ул. Профсоюзная, д.2.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своей работе Администрация поселения руководствуется Конституцией  Российской Федерации, действующими федеральными и областными законами, нормативно-правовыми актами органов местного самоуправления муниципального района, Положением об Администрации городского поселения.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Деятельность Администрации поселения направлена на осуществление полномочий, предусмотренных федеральным законом от 24 сентября 2003 года 131-ФЗ «Об общих принципах местного самоуправления в Российской Федерации».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Основные цели деятельности: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-социальное и экономическое развитие поселения, повышение результативности расходов бюджета, их ориентация на приоритетные направления социально-экономического развития;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разработка и реализация направлений единой финансовой, бюджетной и налоговой политики;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формирование, утверждение и исполнение бюджета поселения, контроль над использованием бюджетных средств;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осуществление благоустройства территории и другие.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Анализ показателей бюджетной отчетности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Администрация наделена полномочиями администратора доходов бюджета поселения. Исполнение доходной части бюджета поселения характеризуется  следующими данными: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 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     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1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     </w:t>
      </w:r>
      <w:r w:rsidRPr="00E658C5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(Тыс. рублей)</w:t>
      </w:r>
    </w:p>
    <w:tbl>
      <w:tblPr>
        <w:tblW w:w="10679" w:type="dxa"/>
        <w:tblCellMar>
          <w:left w:w="0" w:type="dxa"/>
          <w:right w:w="0" w:type="dxa"/>
        </w:tblCellMar>
        <w:tblLook w:val="04A0"/>
      </w:tblPr>
      <w:tblGrid>
        <w:gridCol w:w="2822"/>
        <w:gridCol w:w="1485"/>
        <w:gridCol w:w="1321"/>
        <w:gridCol w:w="1255"/>
        <w:gridCol w:w="1255"/>
        <w:gridCol w:w="1138"/>
        <w:gridCol w:w="1403"/>
      </w:tblGrid>
      <w:tr w:rsidR="00E658C5" w:rsidRPr="00E658C5" w:rsidTr="00E658C5">
        <w:tc>
          <w:tcPr>
            <w:tcW w:w="256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2012 год</w:t>
            </w:r>
          </w:p>
        </w:tc>
        <w:tc>
          <w:tcPr>
            <w:tcW w:w="120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Плано-</w:t>
            </w:r>
          </w:p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 назначе-ния на 2013 год</w:t>
            </w:r>
          </w:p>
        </w:tc>
        <w:tc>
          <w:tcPr>
            <w:tcW w:w="4545" w:type="dxa"/>
            <w:gridSpan w:val="4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E658C5" w:rsidRPr="00E658C5" w:rsidTr="00E658C5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127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  к уровню 2012 года</w:t>
            </w:r>
          </w:p>
        </w:tc>
      </w:tr>
      <w:tr w:rsidR="00E658C5" w:rsidRPr="00E658C5" w:rsidTr="00E658C5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 вес в общем объеме доходов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58C5" w:rsidRPr="00E658C5" w:rsidTr="00E658C5">
        <w:tc>
          <w:tcPr>
            <w:tcW w:w="25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4069,9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3797,5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4298,5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105,6</w:t>
            </w:r>
          </w:p>
        </w:tc>
      </w:tr>
      <w:tr w:rsidR="00E658C5" w:rsidRPr="00E658C5" w:rsidTr="00E658C5">
        <w:tc>
          <w:tcPr>
            <w:tcW w:w="25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уровня бюджетной обеспеченности поселения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8817,0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8381,1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8381,1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</w:t>
            </w:r>
          </w:p>
        </w:tc>
      </w:tr>
      <w:tr w:rsidR="00E658C5" w:rsidRPr="00E658C5" w:rsidTr="00E658C5">
        <w:tc>
          <w:tcPr>
            <w:tcW w:w="25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5452,0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2080,5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2075,5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</w:tr>
      <w:tr w:rsidR="00E658C5" w:rsidRPr="00E658C5" w:rsidTr="00E658C5">
        <w:tc>
          <w:tcPr>
            <w:tcW w:w="25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1811,0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1873,4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1873,4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103,4</w:t>
            </w:r>
          </w:p>
        </w:tc>
      </w:tr>
      <w:tr w:rsidR="00E658C5" w:rsidRPr="00E658C5" w:rsidTr="00E658C5">
        <w:tc>
          <w:tcPr>
            <w:tcW w:w="25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114,2</w:t>
            </w:r>
          </w:p>
        </w:tc>
      </w:tr>
      <w:tr w:rsidR="00E658C5" w:rsidRPr="00E658C5" w:rsidTr="00E658C5">
        <w:tc>
          <w:tcPr>
            <w:tcW w:w="25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ИТОГО ДОХОДОВ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20199,9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16189,6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16685,6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103,1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82,6</w:t>
            </w:r>
          </w:p>
        </w:tc>
      </w:tr>
    </w:tbl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Доходная часть в 2013 году исполнена в объеме 16685,6 тыс. рублей или  103,1% к плановым назначениям. Наибольший удельный вес в общем объеме доходов поселения занимают дотация на выравнивание уровня бюджетной обеспеченности поселения- 50,2%. Налоговые и неналоговые доходы  исполнены в объеме  4298,5 тыс. рублей или 113,2% и занимают 25,8 % в общем объеме доходов. Перевыполнение обусловлено досрочным поступлением налога на доходы физических лиц (за декабрь в декабре).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Безвозмездные поступления составили 12387,1 тыс. рублей или 76,8 % к уровню 2012 года. Уменьшение безвозмездных поступлений связано со значительным сокращением  в 2013 году объемов субсидий бюджету поселения.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В соответствии с решением Совета депутатов  Федорковского сельского поселения от 06.12.2012 № 91 «О бюджете Федорковского сельского поселения  на 2013 год и на плановый период 2014 и 2015 годов» (далее – Решение о бюджете) </w:t>
      </w: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Администрация поселения является главным распорядителем бюджетных средств по разделам классификации расходов бюджета: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01 00 «Общегосударственные вопросы»;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02 00 «Национальная оборона»;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03 00 «Национальная безопасность и правоохранительная деятельность»;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04 00 «Национальная экономика»;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05 00 «Жилищно-коммунальное хозяйство»;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07 00 «Образование»;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08 00 «Культура, кинематография»;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 00 «Социальная политика»;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11 00 «Физическая культура и спорт».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Решением Совета депутатов Федорковского сельского поселения от 26 декабря 2013 года № 151</w:t>
      </w:r>
      <w:r w:rsidRPr="00E658C5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«О внесении изменений в решение Совета депутатов Федорковского сельского поселения от 06.12.2012 № 91»  бюджетные назначения на 2013 год Администрации поселения, как главному распорядителю бюджетных средств, предусмотрены  в размере 17473,5  тыс. рублей и соответствуют показателям сводной бюджетной росписи.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Исполнение расходной части бюджета в 2013 году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Таблица 2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(тыс. руб.)</w:t>
      </w:r>
    </w:p>
    <w:tbl>
      <w:tblPr>
        <w:tblW w:w="10679" w:type="dxa"/>
        <w:tblCellMar>
          <w:left w:w="0" w:type="dxa"/>
          <w:right w:w="0" w:type="dxa"/>
        </w:tblCellMar>
        <w:tblLook w:val="04A0"/>
      </w:tblPr>
      <w:tblGrid>
        <w:gridCol w:w="2382"/>
        <w:gridCol w:w="1269"/>
        <w:gridCol w:w="1222"/>
        <w:gridCol w:w="1018"/>
        <w:gridCol w:w="1102"/>
        <w:gridCol w:w="1348"/>
        <w:gridCol w:w="1050"/>
        <w:gridCol w:w="1288"/>
      </w:tblGrid>
      <w:tr w:rsidR="00E658C5" w:rsidRPr="00E658C5" w:rsidTr="00E658C5">
        <w:tc>
          <w:tcPr>
            <w:tcW w:w="228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отрасли</w:t>
            </w:r>
          </w:p>
        </w:tc>
        <w:tc>
          <w:tcPr>
            <w:tcW w:w="121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в 2012 году</w:t>
            </w:r>
          </w:p>
        </w:tc>
        <w:tc>
          <w:tcPr>
            <w:tcW w:w="117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Бюджет-ные назначе-ния на 2013 год с учетом вносимых изменений</w:t>
            </w:r>
          </w:p>
        </w:tc>
        <w:tc>
          <w:tcPr>
            <w:tcW w:w="5175" w:type="dxa"/>
            <w:gridSpan w:val="5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в 2013 году</w:t>
            </w:r>
          </w:p>
        </w:tc>
      </w:tr>
      <w:tr w:rsidR="00E658C5" w:rsidRPr="00E658C5" w:rsidTr="00E658C5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03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отклонения от бюджетных назначений  (гр.4-гр.3)</w:t>
            </w:r>
          </w:p>
        </w:tc>
        <w:tc>
          <w:tcPr>
            <w:tcW w:w="316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E658C5" w:rsidRPr="00E658C5" w:rsidTr="00E658C5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vAlign w:val="center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уточненному бюджету (гр.4/гр.3* 100)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в общем объеме расходов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исполнению 2012 года (гр.4/гр.2*100)</w:t>
            </w:r>
          </w:p>
        </w:tc>
      </w:tr>
      <w:tr w:rsidR="00E658C5" w:rsidRPr="00E658C5" w:rsidTr="00E658C5">
        <w:tc>
          <w:tcPr>
            <w:tcW w:w="22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658C5" w:rsidRPr="00E658C5" w:rsidTr="00E658C5">
        <w:tc>
          <w:tcPr>
            <w:tcW w:w="22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Всего расходов                            в том числе 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20465,2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17473,5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17278,5</w:t>
            </w:r>
          </w:p>
        </w:tc>
        <w:tc>
          <w:tcPr>
            <w:tcW w:w="10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-195,0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98,9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84,4</w:t>
            </w:r>
          </w:p>
        </w:tc>
      </w:tr>
      <w:tr w:rsidR="00E658C5" w:rsidRPr="00E658C5" w:rsidTr="00E658C5">
        <w:tc>
          <w:tcPr>
            <w:tcW w:w="22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7219,9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7651,1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7609,7</w:t>
            </w:r>
          </w:p>
        </w:tc>
        <w:tc>
          <w:tcPr>
            <w:tcW w:w="10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-41,4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105,4</w:t>
            </w:r>
          </w:p>
        </w:tc>
      </w:tr>
      <w:tr w:rsidR="00E658C5" w:rsidRPr="00E658C5" w:rsidTr="00E658C5">
        <w:tc>
          <w:tcPr>
            <w:tcW w:w="22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10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109,0</w:t>
            </w:r>
          </w:p>
        </w:tc>
      </w:tr>
      <w:tr w:rsidR="00E658C5" w:rsidRPr="00E658C5" w:rsidTr="00E658C5">
        <w:tc>
          <w:tcPr>
            <w:tcW w:w="22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0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</w:t>
            </w:r>
          </w:p>
        </w:tc>
      </w:tr>
      <w:tr w:rsidR="00E658C5" w:rsidRPr="00E658C5" w:rsidTr="00E658C5">
        <w:tc>
          <w:tcPr>
            <w:tcW w:w="22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2886,7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2072,5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1976,4</w:t>
            </w:r>
          </w:p>
        </w:tc>
        <w:tc>
          <w:tcPr>
            <w:tcW w:w="10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-96,1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</w:t>
            </w:r>
          </w:p>
        </w:tc>
      </w:tr>
      <w:tr w:rsidR="00E658C5" w:rsidRPr="00E658C5" w:rsidTr="00E658C5">
        <w:tc>
          <w:tcPr>
            <w:tcW w:w="22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10049,0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7440,0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7385,0</w:t>
            </w:r>
          </w:p>
        </w:tc>
        <w:tc>
          <w:tcPr>
            <w:tcW w:w="10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-55,0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</w:t>
            </w:r>
          </w:p>
        </w:tc>
      </w:tr>
      <w:tr w:rsidR="00E658C5" w:rsidRPr="00E658C5" w:rsidTr="00E658C5">
        <w:tc>
          <w:tcPr>
            <w:tcW w:w="22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0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120,2</w:t>
            </w:r>
          </w:p>
        </w:tc>
      </w:tr>
      <w:tr w:rsidR="00E658C5" w:rsidRPr="00E658C5" w:rsidTr="00E658C5">
        <w:tc>
          <w:tcPr>
            <w:tcW w:w="22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10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-2,5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170,8</w:t>
            </w:r>
          </w:p>
        </w:tc>
      </w:tr>
      <w:tr w:rsidR="00E658C5" w:rsidRPr="00E658C5" w:rsidTr="00E658C5">
        <w:tc>
          <w:tcPr>
            <w:tcW w:w="22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0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</w:t>
            </w:r>
          </w:p>
        </w:tc>
      </w:tr>
      <w:tr w:rsidR="00E658C5" w:rsidRPr="00E658C5" w:rsidTr="00E658C5">
        <w:tc>
          <w:tcPr>
            <w:tcW w:w="22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0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noWrap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</w:tbl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Расходы в 2013 году исполнены в сумме 17278,5 тыс. рублей, что составляет 98,9 % от  утвержденных плановых показателей и соответствует показателям отчета ф. 0503127 бюджетной отчетности.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К уровню 2012 года расходная часть исполнена на 84,4%. Значительное уменьшение расходов произошло по отрасли «Жилищно-коммунальное хозяйство»  на 2664,0 тыс. рублей (73,5%). Данный факт обусловлен уменьшением объема субсидий, выделяемых бюджету сельского поселения на развитие инфраструктуры водоснабжения. По подразделу «Национальная экономика» уменьшение составило 910,3 тыс. рублей (68,6 %) и  связано с сокращением субсидий на осуществление дорожной деятельности. В 2013 году применялся новый подход при распределении данных средств между бюджетами поселений – пропорционально протяженности дорог, принятых в муниципальную собственность, а в 2012 году пропорционально общей протяженности дорог.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течение года осуществлялась реализация мероприятий  четырех региональных и двух муниципальных целевых программ. Плановые назначения по целевым программам в 2013 году составили 2206,0 тыс. рублей, их удельный вес в общем объеме расходов, предусмотренных Администрации поселения решением о бюджете на 2013 год, занимает 12,8 процента, что на 14,7 процента меньше, чем в 2012году. Расходы бюджета на мероприятия  в рамках  целевых программ исполнены в объеме 2199,3 тыс. рублей или  на 99,7 процента.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Согласно представленной бюджетной отчетности в Администрации поселения на 01 января 2014 года имеется кредиторская и дебиторская задолженности. Кредиторская задолженность на конец отчетного периода составляет:</w:t>
      </w: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  <w:t>- по счету 030200000 «Расчеты по принятым обязательствам» - 8,0 тыс. рублей, задолженность перед ООО «Консультант» в сумме 4822,29 рублей, перед ООО Управляющая компания в сумме 3137,35 рублей за предоставленные услуги в декабре 2013 года.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Дебиторская задолженность на конец отчетного периода обозначена в сумме  231,0 тыс. рублей: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- по счету 020623000 «Расчеты по выданным авансам» - 211,0 тыс. рублей, авансовый платеж за электроэнергию, потребленную в декабре 2013 года;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по счету 020900000 «Расчеты по ущербу имуществу» - 20,0 тыс. рублей, документы по похищенной оргтехнике находятся в следственных органах.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Проверка правильности составления, ведения бюджетной росписи, включая внесение в нее изменений.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Администрация поселения является главным распорядителем бюджетных средств,  в соответствии со ст. 158 БК РФ самостоятельно составляет, утверждает и ведет бюджетную роспись, вносит предложения по формированию и изменению лимитов бюджетных обязательств и исполняет соответствующую часть бюджета.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Распоряжением Администрации поселения от 01.04.2011 № 18-рг «Об утверждении порядка составления и ведения сводной бюджетной росписи бюджета Федорковского сельского поселения и бюджетных росписей главных распорядителей, получателей средств бюджета (главных администраторов  источников финансирования дефицита бюджета Федорковского сельского поселения)» (далее- Порядок) утвержден порядок составления и ведения сводной  бюджетной росписи. Роспись расходов  на 2013 год утверждена 29.12.2012 года Главой поселения и соответствует показателям решения о бюджете (ф. 0503163).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Ведение бюджетной росписи и лимитов бюджетных обязательств осуществлялось с нарушениями, а именно, посредством внесения изменений в показатели бюджетной росписи и лимиты бюджетных обязательств на основании уведомлений. В нарушение п.п. 9.1 п.9 справка по форме, предусмотренной  приложением 4 к Порядку, не выписывалась, предложений главного распорядителя, получателя письменно в Администрацию поселения не представлялось. По уменьшаемым бюджетным ассигнованиям письменные обязательства главного распорядителя, получателя бюджетных средств о недопущении просроченной кредиторской задолженности не направлялись.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Уточненная роспись расходов  составлена и утверждена в ходе проведения внешней проверки.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Анализ степени полноты бюджетной отчетности главного распорядителя бюджетных средств, ее соответствие требованиям нормативных правовых актов по составу и содержанию. Проверка внутренней согласованности форм бюджетной отчетности и достоверности показателей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Формирование сводной бюджетной отчетности осуществлялось Администрацией поселения  с использованием программного продукта  «ПАРУС». Сводная отчетность в режиме «On-Line» направлена в комитет финансов муниципального района.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Предоставленная сводная бюджетная отчетность Администрации поселения, подписана Главой Федорковского сельского поселения Степановым Б.А., ведущим специалистом Емельяновой С.В. в соответствии с п. 6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Российской Федерации, утвержденной Приказом Министерства финансов РФ от 23.12.2010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Инструкция № 191н).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соответствии  с Положением о бюджетном процессе в Федорковском сельском поселении Администрация поселения, как главный администратор средств бюджета, бюджетную отчетность, включающую в себя формы документов, определенные   бюджетным законодательством, предоставила в Контрольно-счетную палату в установленный срок. При формировании отчета за 2013 год дополнительные формы бюджетной отчетности для Администрации поселения не устанавливались.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Проверка бюджетной отчетности Администрации поселения показала, что данные вступительных балансов на начало года соответствуют аналогичным показателям на конец предыдущего года.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При проверке полноты заполнения форм бюджетной отчетности установлено: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 нарушение п.п. 9 пункта 55 Инструкции 191н по строкам 710, и 720  графы 4 ф. 0503127  указаны утвержденные  бюджетные назначения в сумме -16189,6 тыс. рублей и 17473,5 тыс. рублей соответственно. По данным строкам отражаются суммы утвержденных бюджетных назначений по поступлениям средств бюджета с депозитных счетов и суммы утвержденных (доведенных) бюджетных ассигнований по размещению средств бюджета на депозитные счета.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При проведении  проверки пояснительной записки бюджетной отчетности, форм и приложений  к ней, установлены следующие нарушения и недостатки: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 ф. 0503162 «Сведения о результатах деятельности» показатели  результативности деятельности Администрации поселения не определены. В данной форме следует указывать сумму в графе 5 и графе 6 по строке «Итого расходов, предусмотренных сводной бюджетной росписью на отчетный финансовый год», строка «Итого» не заполняется (п.161 Инструкции 191н);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 таблице 2 «Сведения о мерах по повышению эффективности расходования бюджетных средств» пояснительной записки, в сведениях о создании комиссии по размещению муниципального заказа (графы 2 – 4) должен стоять распорядительный документ главного распорядителя бюджетных средств, т. е. Администрации поселения (пункт 154 Инструкции 191н). В отчете поселения обозначен Указ Президента РФ «О первоочередных мерах по предотвращению коррупции и сокращению бюджетных расходов при организации закупки продукции для государственных нужд» № 305 от 08.04.1997 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 нарушение пункта 155 Инструкции 191н  данные Таблицы 3 «Сведения об     исполнении текстовых статей закона (решения) о бюджете» не отражают информации по исполнению текстовой  статьи 6 решения о бюджете «Особенности использования средств, поступающих во временное распоряжение получателей средств бюджета муниципального района»;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таблица № 7 «Сведения о результатах внешних контрольных мероприятий» не имеет показателей. Данная форма составляется в том случае, если в отчетном году проводились проверки Контрольно - счетной палатой муниципального района, а так как в Администрации поселения проверки не проводились, то и таблица в составе бюджетной отчетности не представляется, об этом делается ссылка в текстовой части пояснительной записки;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- в нарушение п. 163 Инструкции 191н в ф. отчета 0503164 «Сведения об исполнении бюджета» в графе 7 раздела «Доходы» по ряду показателей не указаны причины отклонений от плановых назначений;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 графе 3 отчета ф. 0503177 «Сведения об использовании информационно-коммуникационных технологий» не указаны коды расходов бюджетной классификации, по которым были осуществлены мероприятия, в графе 5 не указаны конкретные цели произведенных расходов.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При сверке показателей отчета ф.0503168 «Сведения о движении нефинансовых активов» установлено, что балансовая стоимость основных средств по счету 010136000 «Производственный и хозяйственный инвентарь» на начало и конец года составляет 532,2 тыс. рублей. Амортизация по данному виду основных средств (счет 01043600) на начало года составляет 600,9 тыс. рублей, на конец года – 603,6  тыс. рублей. Превышение суммы амортизации над балансовой стоимостью составило: на начало года 68,7 тыс. рублей, на конец года – 71,4 тыс. рублей. Данный факт свидетельствует о том, что в Администрации поселения аналитический учет  основных средств и начисленной на них амортизации ведется формально.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Проверка организации ведения бюджетного учета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Учетная политика Администрации поселения  на 2013 год утверждена приказом от 29.12.2012 № 83-рг «Об учетной политике Администрации Федорковского сельского поселения» (далее- Приказ). По тексту документа имеются ссылки на Федеральный закон  от 21.11.1996 г. № 129 –ФЗ. С 1января 2012 года данный нормативный акт утратил силу, при формировании учетной политики и организации бюджетного учета следует опираться на нормы, определенные федеральным закон от 06.12.2011 N 402-ФЗ</w:t>
      </w: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br/>
        <w:t>"О бухгалтерском учете".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Приложением 5 к Приказу определены сроки проведения инвентаризации имущества и финансовых обязательств: основных средств  - не реже 1раза в 3 года, материальных запасов и денежных документов  - ежегодно по состоянию на 01 декабря, расчетов с прочими дебитами и кредиторами - по состоянию на 1 января 2014 года. Инвентаризация проведена в соответствии с   распоряжением от 21.10.2013 года № 78-рг «О проведении инвентаризации». В нарушение п.п.2.2 п. 2 Приказа  основные средства и  материальные запасы сверены по состоянию на 1 ноября 2013 года, расчеты на 1 декабря 2013 года. Не проведена инвентаризация жилых помещений.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нарушение положений Приказа Министерства Финансов Российской Федерации от 13.06.1995 № 49 «Об утверждении методических указаний по инвентаризации имущества и финансовых обязательств» в инвентаризационных описях имеются случаи отсутствия краткой характеристики объектов (автомобильные дороги).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При проверке соответствия показателей, приведенных в формах бюджетной отчетности  данным Главной книги ГРБС, оборотам и остаткам  регистров аналитического учета, установлено следующее: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сальдо по счету 130405000 на 01 января 2014 года до заключительных оборотов по данным справки ф. 0503110 «Справка по заключению счетов бюджетного учета отчетного финансового года» -17278,6 тыс. рублей, по данным ж/о операций № 2 «Журнал операций с безналичными денежными средствами» - 17071,8 тыс. рублей. Отклонения составляют</w:t>
      </w:r>
      <w:r w:rsidRPr="00E658C5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206,8 тыс. рублей</w:t>
      </w: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- заключительные обороты по счету 121002000 «Расчеты с финансовым органом по поступлениям в бюджет» и счету 140110000 "Доходы текущего финансового года" в части поступающих доходов, отсутствуют, так как учет по данным операциям в бюджетном учете ГРБС не ведется;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при сверке остатков по ж/о № 4 «Журнал операций расчетов с поставщиками и подрядчиками» с данными аналитического учета установлено, что по журналу № 4 кредиторская задолженность на 1 января 2014 года составляет 8012,50 рублей, дебиторская – 231000,00 рублей  и соответствует данным ф. 0503130 и ф. 0503169 «Сведения по дебиторской и кредиторской задолженности». По данным накопительной ведомости счетов 130225000, 130226000, 130221000, 130223000 дебиторская и  кредиторская задолженность показателям бюджетной отчетности не соответствует, что свидетельствует о не качественном  ведении бюджетного учета;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сверка остатков нефинансовых активов и начисленной  амортизации основных средств по данным аналитического учета с данными Главной книги и данными ф. 0503130  и ф. 0503168 «Сведения о движении нефинансовых активов» показала, что остатки по счетам 110411000, 110412000, 110134000, 110434000, 110435000, 110136000, 110436000, 10533000, 10536000 в оборотной ведомости не соответствуют  отчетным данным в сумме</w:t>
      </w:r>
      <w:r w:rsidRPr="00E658C5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766,9 тыс. рублей.</w:t>
      </w:r>
      <w:r w:rsidRPr="00E658C5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Отклонения по  строкам  051, 053, 014, 016 ф. 0503168 графе с данными Главной книги  составили</w:t>
      </w:r>
      <w:r w:rsidRPr="00E658C5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1152,0 тыс. рублей</w:t>
      </w:r>
      <w:r w:rsidRPr="00E658C5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(Приложение № 1). Исправления внесены во время проведения проверки.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в нарушение п. 349 Приказа МФ РФ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(далее-Инструкция 157н) запасные части к транспортным средствам, выданные взамен изношенных, списываются со счета 150336000 «Прочие материальные запасы», и не учитываются на забалансовом счете 09 "Запасные части к транспортным средствам, выданные взамен изношенных".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ходе проверки правильности ведения учета лимитов бюджетных обязательств установлено: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данные главной книги по счету 15011500 «Полученные лимиты бюджетных обязательств» соответствуют данным  графы 5 раздела 2 отчета ф. 0503127 и графы 5 отчета ф. 0503128;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сумма принятых бюджетных (денежных) обязательств  по счету 150211000 в главной книге не соответствует данным в графе 6 (принятые бюджетные обязательства) и графе 8 (принятые денежные обязательства) отчета ф. 0503128 на сумму 11097,1 тыс. рублей (в главной книге принятые бюджетные (денежные) обязательства составляют 6189,5 тыс. рублей, в отчете – 17286,6 тыс. рублей. Данный факт свидетельствует о неправильном учете принятых бюджетных(денежных) обязательств.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Система внутреннего финансового контроля использования бюджетных средств в Администрацией поселения не урегулирована.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Заключение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1. Бюджетная отчетность Администрации Федорковского сельского поселения поступила в Контрольно-счетную палату своевременно и в полном объеме.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2. Показатели сводной бюджетной росписи, решения о бюджете соответствуют данным формы бюджетной отчетности ф.0503127.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3. Данные вступительных балансов на начало года соответствуют аналогичным показателям на конец предыдущего года.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4.  В ходе проведения внешней проверки годовой бюджетной отчетности выявлены нарушения на общую сумму</w:t>
      </w:r>
      <w:r w:rsidRPr="00E658C5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2125,7 тыс. рублей: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-</w:t>
      </w:r>
      <w:r w:rsidRPr="00E658C5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 </w:t>
      </w: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нарушение правил ведения бюджетного учета – 206,8 тыс. рублей;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искажение показателей бюджетной отчетности (Ф.0503168)-1918,9 тыс. рублей.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5. Ведение бюджетной росписи и лимитов бюджетных обязательств осуществлялось с нарушениями п.п. 9.1 п.9 Порядка. Справка по форме, предусмотренной  приложением 4 к Порядку, не выписывалась, предложений главного распорядителя, получателя письменно в Администрацию поселения не представлялось. По уменьшаемым бюджетным ассигнованиям письменные обязательства главного распорядителя, получателя бюджетных средств о недопущении просроченной кредиторской задолженности не направлялись.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6. Аналитический учет  основных средств и начисленной на них амортизации ведется формально.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7. В приказе  об утверждении учетной политики имеются ссылки на документы, утратившие силу.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8. Инвентаризация имущества и финансовых обязательств проведена не в полном объеме.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9.Формы бюджетной отчетности сформированы с нарушениями п.154, 155, 161,163 Инструкции 191н;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10. Не определен порядок ведения принятых бюджетных (денежных) обязательств.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11.Система внутреннего финансового контроля использования бюджетных средств  Администрацией поселения не урегулирована.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Председатель Контрольно-счетной палаты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муниципального района                                                       Е.В. Сорокина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Ведущий инспектор                                                                    Е.А. Исакова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Заместитель Главы администрации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Федорковского сельского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поселения                                                                                      Н.А. Петрова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Ведущий специалист                                                        С.В. Емельянова                 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lastRenderedPageBreak/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Приложение № 1</w:t>
      </w:r>
    </w:p>
    <w:p w:rsidR="00E658C5" w:rsidRPr="00E658C5" w:rsidRDefault="00E658C5" w:rsidP="00E658C5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в  рублях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876"/>
        <w:gridCol w:w="894"/>
        <w:gridCol w:w="1466"/>
        <w:gridCol w:w="1408"/>
        <w:gridCol w:w="1212"/>
        <w:gridCol w:w="1323"/>
        <w:gridCol w:w="1240"/>
        <w:gridCol w:w="1260"/>
      </w:tblGrid>
      <w:tr w:rsidR="00E658C5" w:rsidRPr="00E658C5" w:rsidTr="00E658C5">
        <w:tc>
          <w:tcPr>
            <w:tcW w:w="3570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Счет синтетического</w:t>
            </w:r>
          </w:p>
          <w:p w:rsidR="00E658C5" w:rsidRPr="00E658C5" w:rsidRDefault="00E658C5" w:rsidP="00E658C5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учета</w:t>
            </w:r>
          </w:p>
        </w:tc>
        <w:tc>
          <w:tcPr>
            <w:tcW w:w="217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Оборотная ведомость</w:t>
            </w:r>
          </w:p>
        </w:tc>
        <w:tc>
          <w:tcPr>
            <w:tcW w:w="198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Главная книга</w:t>
            </w:r>
          </w:p>
        </w:tc>
        <w:tc>
          <w:tcPr>
            <w:tcW w:w="142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</w:t>
            </w:r>
          </w:p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(гр.4-гр.3)</w:t>
            </w:r>
          </w:p>
        </w:tc>
        <w:tc>
          <w:tcPr>
            <w:tcW w:w="169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Отчет ф. 0503168</w:t>
            </w:r>
          </w:p>
        </w:tc>
        <w:tc>
          <w:tcPr>
            <w:tcW w:w="343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Отклонения</w:t>
            </w:r>
          </w:p>
        </w:tc>
      </w:tr>
      <w:tr w:rsidR="00E658C5" w:rsidRPr="00E658C5" w:rsidTr="00E658C5">
        <w:tc>
          <w:tcPr>
            <w:tcW w:w="23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Отчета от оборотной ведомости (гр.6-гр.3)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Отчета от главной книги (гр.6-гр.4)</w:t>
            </w:r>
          </w:p>
        </w:tc>
      </w:tr>
      <w:tr w:rsidR="00E658C5" w:rsidRPr="00E658C5" w:rsidTr="00E658C5">
        <w:tc>
          <w:tcPr>
            <w:tcW w:w="23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</w:t>
            </w:r>
          </w:p>
        </w:tc>
      </w:tr>
      <w:tr w:rsidR="00E658C5" w:rsidRPr="00E658C5" w:rsidTr="00E658C5">
        <w:tc>
          <w:tcPr>
            <w:tcW w:w="23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Жилые помещения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110111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14039116,26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14039116,26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14039116,23</w:t>
            </w:r>
          </w:p>
        </w:tc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0,0</w:t>
            </w:r>
          </w:p>
        </w:tc>
      </w:tr>
      <w:tr w:rsidR="00E658C5" w:rsidRPr="00E658C5" w:rsidTr="00E658C5">
        <w:tc>
          <w:tcPr>
            <w:tcW w:w="23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Амортизация жилых помещений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110411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10128927,89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10133161,59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4233,70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10681589,66</w:t>
            </w:r>
          </w:p>
        </w:tc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552661,77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548428,07</w:t>
            </w:r>
          </w:p>
        </w:tc>
      </w:tr>
      <w:tr w:rsidR="00E658C5" w:rsidRPr="00E658C5" w:rsidTr="00E658C5">
        <w:tc>
          <w:tcPr>
            <w:tcW w:w="23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Нежилые помещения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110112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8137856,87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8137856,87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8137856,87</w:t>
            </w:r>
          </w:p>
        </w:tc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0,0</w:t>
            </w:r>
          </w:p>
        </w:tc>
      </w:tr>
      <w:tr w:rsidR="00E658C5" w:rsidRPr="00E658C5" w:rsidTr="00E658C5">
        <w:tc>
          <w:tcPr>
            <w:tcW w:w="23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Амортизация нежилых помещений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110412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5762946,87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5771556,87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8610,0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5771556,87</w:t>
            </w:r>
          </w:p>
        </w:tc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8610,00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0,0</w:t>
            </w:r>
          </w:p>
        </w:tc>
      </w:tr>
      <w:tr w:rsidR="00E658C5" w:rsidRPr="00E658C5" w:rsidTr="00E658C5">
        <w:tc>
          <w:tcPr>
            <w:tcW w:w="23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Сооружения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110113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64431404,10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64431405,10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64431405,10</w:t>
            </w:r>
          </w:p>
        </w:tc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1,00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E658C5" w:rsidRPr="00E658C5" w:rsidTr="00E658C5">
        <w:tc>
          <w:tcPr>
            <w:tcW w:w="23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Амортизация сооружений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110413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Нет оборотки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58719318,86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58170890,79</w:t>
            </w:r>
          </w:p>
        </w:tc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-548428,07</w:t>
            </w:r>
          </w:p>
        </w:tc>
      </w:tr>
      <w:tr w:rsidR="00E658C5" w:rsidRPr="00E658C5" w:rsidTr="00E658C5">
        <w:tc>
          <w:tcPr>
            <w:tcW w:w="23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Машины и оборудование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110134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772638,93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738818,93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-33820,0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710820,93</w:t>
            </w:r>
          </w:p>
        </w:tc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-61818,00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-27998,00</w:t>
            </w:r>
          </w:p>
        </w:tc>
      </w:tr>
      <w:tr w:rsidR="00E658C5" w:rsidRPr="00E658C5" w:rsidTr="00E658C5">
        <w:tc>
          <w:tcPr>
            <w:tcW w:w="23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Амортизация машин и оборудования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110434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651515,35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701649,35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50134,0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701649,35</w:t>
            </w:r>
          </w:p>
        </w:tc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50134,00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E658C5" w:rsidRPr="00E658C5" w:rsidTr="00E658C5">
        <w:tc>
          <w:tcPr>
            <w:tcW w:w="23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110135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1340559,04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1340559,04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1340559,04</w:t>
            </w:r>
          </w:p>
        </w:tc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E658C5" w:rsidRPr="00E658C5" w:rsidTr="00E658C5">
        <w:tc>
          <w:tcPr>
            <w:tcW w:w="23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Амортизация транспортных средств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110435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1246023,17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1264323,17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18300,0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1264323,17</w:t>
            </w:r>
          </w:p>
        </w:tc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18300,00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E658C5" w:rsidRPr="00E658C5" w:rsidTr="00E658C5">
        <w:tc>
          <w:tcPr>
            <w:tcW w:w="23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110136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519573,51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504997,76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-14575,75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532181,51</w:t>
            </w:r>
          </w:p>
        </w:tc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12608,00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27183,75</w:t>
            </w:r>
          </w:p>
        </w:tc>
      </w:tr>
      <w:tr w:rsidR="00E658C5" w:rsidRPr="00E658C5" w:rsidTr="00E658C5">
        <w:tc>
          <w:tcPr>
            <w:tcW w:w="23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Амортизация производственного и хозяйственного инвентаря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110436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417187,54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603603,54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186416,0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603603,54</w:t>
            </w:r>
          </w:p>
        </w:tc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186416,00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0,00</w:t>
            </w:r>
          </w:p>
        </w:tc>
      </w:tr>
      <w:tr w:rsidR="00E658C5" w:rsidRPr="00E658C5" w:rsidTr="00E658C5">
        <w:tc>
          <w:tcPr>
            <w:tcW w:w="23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Итог по отклонениям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766912,77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1152037,89</w:t>
            </w:r>
          </w:p>
        </w:tc>
      </w:tr>
      <w:tr w:rsidR="00E658C5" w:rsidRPr="00E658C5" w:rsidTr="00E658C5">
        <w:tc>
          <w:tcPr>
            <w:tcW w:w="23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Горюче-смазочные материалы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110533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18431,93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20119,33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1687,40</w:t>
            </w:r>
          </w:p>
        </w:tc>
        <w:tc>
          <w:tcPr>
            <w:tcW w:w="169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4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169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Х</w:t>
            </w:r>
          </w:p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E658C5" w:rsidRPr="00E658C5" w:rsidTr="00E658C5">
        <w:tc>
          <w:tcPr>
            <w:tcW w:w="23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Прочие материальные запасы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110536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17689,75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17927,75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238,00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E658C5" w:rsidRPr="00E658C5" w:rsidRDefault="00E658C5" w:rsidP="00E658C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E658C5" w:rsidRPr="00E658C5" w:rsidTr="00E658C5">
        <w:tc>
          <w:tcPr>
            <w:tcW w:w="23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Итого по материальным запасам</w:t>
            </w:r>
          </w:p>
        </w:tc>
        <w:tc>
          <w:tcPr>
            <w:tcW w:w="12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110500</w:t>
            </w:r>
          </w:p>
        </w:tc>
        <w:tc>
          <w:tcPr>
            <w:tcW w:w="21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36121,68</w:t>
            </w:r>
          </w:p>
        </w:tc>
        <w:tc>
          <w:tcPr>
            <w:tcW w:w="19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38047,08</w:t>
            </w:r>
          </w:p>
        </w:tc>
        <w:tc>
          <w:tcPr>
            <w:tcW w:w="142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1925,40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38047,12</w:t>
            </w:r>
          </w:p>
        </w:tc>
        <w:tc>
          <w:tcPr>
            <w:tcW w:w="17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1925,44</w:t>
            </w:r>
          </w:p>
        </w:tc>
        <w:tc>
          <w:tcPr>
            <w:tcW w:w="169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E658C5" w:rsidRPr="00E658C5" w:rsidRDefault="00E658C5" w:rsidP="00E658C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E658C5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0,0</w:t>
            </w:r>
          </w:p>
        </w:tc>
      </w:tr>
    </w:tbl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E658C5" w:rsidRPr="00E658C5" w:rsidRDefault="00E658C5" w:rsidP="00E658C5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E658C5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2F0C19" w:rsidRPr="00E658C5" w:rsidRDefault="002F0C19" w:rsidP="00E658C5"/>
    <w:sectPr w:rsidR="002F0C19" w:rsidRPr="00E658C5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B66"/>
    <w:multiLevelType w:val="multilevel"/>
    <w:tmpl w:val="4DA0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E79C9"/>
    <w:multiLevelType w:val="multilevel"/>
    <w:tmpl w:val="AF9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208CB"/>
    <w:multiLevelType w:val="multilevel"/>
    <w:tmpl w:val="2E221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540E2"/>
    <w:multiLevelType w:val="multilevel"/>
    <w:tmpl w:val="DA3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B3A00"/>
    <w:multiLevelType w:val="multilevel"/>
    <w:tmpl w:val="BBB8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916BC"/>
    <w:multiLevelType w:val="multilevel"/>
    <w:tmpl w:val="D570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87BD4"/>
    <w:rsid w:val="000B45E6"/>
    <w:rsid w:val="000F7F22"/>
    <w:rsid w:val="00292208"/>
    <w:rsid w:val="002F0C19"/>
    <w:rsid w:val="003E535B"/>
    <w:rsid w:val="00856C66"/>
    <w:rsid w:val="00C9258D"/>
    <w:rsid w:val="00D87BD4"/>
    <w:rsid w:val="00E6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paragraph" w:styleId="2">
    <w:name w:val="heading 2"/>
    <w:basedOn w:val="a"/>
    <w:link w:val="20"/>
    <w:uiPriority w:val="9"/>
    <w:qFormat/>
    <w:rsid w:val="00D87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B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8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BD4"/>
  </w:style>
  <w:style w:type="character" w:styleId="a4">
    <w:name w:val="Hyperlink"/>
    <w:basedOn w:val="a0"/>
    <w:uiPriority w:val="99"/>
    <w:semiHidden/>
    <w:unhideWhenUsed/>
    <w:rsid w:val="00D87BD4"/>
    <w:rPr>
      <w:color w:val="0000FF"/>
      <w:u w:val="single"/>
    </w:rPr>
  </w:style>
  <w:style w:type="character" w:styleId="a5">
    <w:name w:val="Strong"/>
    <w:basedOn w:val="a0"/>
    <w:uiPriority w:val="22"/>
    <w:qFormat/>
    <w:rsid w:val="00856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3910</Words>
  <Characters>22290</Characters>
  <Application>Microsoft Office Word</Application>
  <DocSecurity>0</DocSecurity>
  <Lines>185</Lines>
  <Paragraphs>52</Paragraphs>
  <ScaleCrop>false</ScaleCrop>
  <Company>Microsoft</Company>
  <LinksUpToDate>false</LinksUpToDate>
  <CharactersWithSpaces>26148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2019-11-21T09:33:00Z</dcterms:created>
  <dcterms:modified xsi:type="dcterms:W3CDTF">2019-11-21T09:33:00Z</dcterms:modified>
</cp:coreProperties>
</file>