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7" w:rsidRPr="00C331D7" w:rsidRDefault="00C331D7" w:rsidP="00C331D7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 на проект решения Думы </w:t>
      </w:r>
      <w:proofErr w:type="spellStart"/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Парфинского</w:t>
      </w:r>
      <w:proofErr w:type="spellEnd"/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муниципального района «О внесении изменений   в решение Думы </w:t>
      </w:r>
      <w:proofErr w:type="spellStart"/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Парфинского</w:t>
      </w:r>
      <w:proofErr w:type="spellEnd"/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муниципального района от 25.12.2013 № 205»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от 17 марта 2014 года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Российской Федерации, Положением о Контрольно-счетной палате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Положением о бюджетном процессе в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Парфинском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муниципальном районе, утверждённым Решением Думы муниципального района от 30.10.2013 № 193.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 Представленным на экспертизу проектом решения Думы  муниципального района, предлагается внести изменения  в  бюджет муниципального района, утвержденный решением Думы муниципального района от 25.12.2013 № 205 «О бюджете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   муниципального района на 2014 год и на плановый период 2015 и 2016 годов».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</w:t>
      </w:r>
      <w:r w:rsidRPr="00C331D7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общую сумму доходов предлагается увеличить  на 5041,4 тыс. рублей и утвердить в сумме 396678,8 тыс. рублей;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общую сумму расходов предлагается увеличить на 5269,9 тыс. рублей и утвердить в сумме 414117,0 тыс. рублей;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  планируется увеличить на 228,5 тыс. рублей и утвердить в сумме 17438,2 тыс. рублей.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 изменятся параметры бюджета на плановый период 2015 и 2016 годов. Доходы бюджета составят в 2015 году 383110,1 тыс. рублей, в 2016 году – 401476,6 тыс. рублей. Расходы в плановом периоде предлагается утвердить соответственно 392378,0 и 407258,0 тыс. рублей. Прогнозируемый дефицит бюджета на 2015 год составит 9276,9 тыс. рублей, в 2016 году – 5781,4 тыс. рублей.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    </w:t>
      </w:r>
      <w:r w:rsidRPr="00C331D7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Изменение показателей бюджета муниципального района на 2014 год  характеризуются следующими данными (Таблица 1):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1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</w:t>
      </w: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тыс. рублей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825"/>
        <w:gridCol w:w="2061"/>
        <w:gridCol w:w="1819"/>
        <w:gridCol w:w="1836"/>
        <w:gridCol w:w="1220"/>
        <w:gridCol w:w="1220"/>
        <w:gridCol w:w="1306"/>
        <w:gridCol w:w="1306"/>
      </w:tblGrid>
      <w:tr w:rsidR="00C331D7" w:rsidRPr="00C331D7" w:rsidTr="00C331D7">
        <w:tc>
          <w:tcPr>
            <w:tcW w:w="13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Первоначальные бюджетные назначения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Утвержденные бюджетные назначения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43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предлагаемого проекта решения</w:t>
            </w:r>
          </w:p>
        </w:tc>
      </w:tr>
      <w:tr w:rsidR="00C331D7" w:rsidRPr="00C331D7" w:rsidTr="00C331D7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 первоначального бюджета</w:t>
            </w:r>
          </w:p>
        </w:tc>
        <w:tc>
          <w:tcPr>
            <w:tcW w:w="22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 утвержденного бюджета</w:t>
            </w:r>
          </w:p>
        </w:tc>
      </w:tr>
      <w:tr w:rsidR="00C331D7" w:rsidRPr="00C331D7" w:rsidTr="00C331D7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(гр.4 -гр.2)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Процент (гр.4/ гр.2)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(гр.4 -гр.3)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Процент (гр.4/ гр.3)</w:t>
            </w:r>
          </w:p>
        </w:tc>
      </w:tr>
      <w:tr w:rsidR="00C331D7" w:rsidRPr="00C331D7" w:rsidTr="00C331D7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</w:t>
            </w:r>
          </w:p>
        </w:tc>
      </w:tr>
      <w:tr w:rsidR="00C331D7" w:rsidRPr="00C331D7" w:rsidTr="00C331D7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396565,1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391637,4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396678,8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5041,4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101,28</w:t>
            </w:r>
          </w:p>
        </w:tc>
      </w:tr>
      <w:tr w:rsidR="00C331D7" w:rsidRPr="00C331D7" w:rsidTr="00C331D7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409168,3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408847,1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414117,0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4948,7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5269,9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101,29</w:t>
            </w:r>
          </w:p>
        </w:tc>
      </w:tr>
      <w:tr w:rsidR="00C331D7" w:rsidRPr="00C331D7" w:rsidTr="00C331D7"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Дефицит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-12603,2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-17209,7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-17438,2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-4835,0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-228,5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101,32</w:t>
            </w:r>
          </w:p>
        </w:tc>
      </w:tr>
    </w:tbl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Увеличение доходной части бюджета муниципального района  к первоначальным бюджетным назначениям составляет  113,7 тыс. рублей, к утвержденным назначениям  5041,4 тыс. рублей (101,28%). Расходная часть бюджета увеличена на 4948,7 тыс. рублей  к уровню первоначального бюджета (101,2%) и на 5269,9 тыс. рублей к утвержденным бюджетным назначениям (101,29%). Дефицит бюджета увеличился на 4835,0 тыс. рублей (138,3%) по сравнению с первоначальным бюджетом и на 228,5 тыс. рублей (101,32%) по сравнению с утвержденным.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Предусмотренный проектом решения дефицит бюджета в сумме 17438,2 тыс. рублей планируется покрыть  остатками средств на счете бюджета муниципального района (16543,5 тыс. рублей)  и разницей между кредитами, планируемыми к получению  (7000,0 тыс. рублей) и погашению  (4436,8 тыс. рублей) в 2014 году, что не противоречит нормам статьи 92.1 Бюджетного кодекса Российской Федерации.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Изменение доходной части бюджета муниципального района на 2014 год характеризуется следующими данными (Таблица 2):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2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Тыс. рублей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939"/>
        <w:gridCol w:w="1887"/>
        <w:gridCol w:w="1666"/>
        <w:gridCol w:w="1679"/>
        <w:gridCol w:w="959"/>
        <w:gridCol w:w="1252"/>
        <w:gridCol w:w="959"/>
        <w:gridCol w:w="1252"/>
      </w:tblGrid>
      <w:tr w:rsidR="00C331D7" w:rsidRPr="00C331D7" w:rsidTr="00C331D7">
        <w:tc>
          <w:tcPr>
            <w:tcW w:w="28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Первоначальный бюджет</w:t>
            </w:r>
          </w:p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 2014 год</w:t>
            </w:r>
          </w:p>
        </w:tc>
        <w:tc>
          <w:tcPr>
            <w:tcW w:w="11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Утвержденный бюджет</w:t>
            </w:r>
          </w:p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( ред. №214 от 26.02.2014 года)</w:t>
            </w:r>
          </w:p>
        </w:tc>
        <w:tc>
          <w:tcPr>
            <w:tcW w:w="11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1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проекта решения от первоначального бюджета</w:t>
            </w:r>
          </w:p>
        </w:tc>
        <w:tc>
          <w:tcPr>
            <w:tcW w:w="1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проекта решения от утвержденного бюджета</w:t>
            </w:r>
          </w:p>
        </w:tc>
      </w:tr>
      <w:tr w:rsidR="00C331D7" w:rsidRPr="00C331D7" w:rsidTr="00C331D7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сумме (гр.4 – гр.2)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процентах (гр.4 / гр.2)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сумме (гр.4 – гр.3)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процентах (гр.4 / гр.3)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93311,0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93311,0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93311,0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21794,2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21094,3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21094,3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-699,9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96,8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Субсидии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56912,0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56912,1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58041,4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1129,4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1129,3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102,0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Иные межбюджетные трансферты передаваемые бюджетам муниципальных районов на выполнение части по решению вопросов 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3439,4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3439,4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3475,3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35,9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35,9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101,0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175456,6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174756,8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175922,0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465,4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100,3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1165,2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100,7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221108,5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221487,1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224681,8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3573,3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101,6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3194,7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101,4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Возврат субсидий и субвенций прошлых лет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-4606,5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-3925,0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-3925,0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-681,5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85,2</w:t>
            </w:r>
          </w:p>
        </w:tc>
      </w:tr>
      <w:tr w:rsidR="00C331D7" w:rsidRPr="00C331D7" w:rsidTr="00C331D7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396565,1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391637,4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396678,8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113,7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100,02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3678,4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101,3</w:t>
            </w:r>
          </w:p>
        </w:tc>
      </w:tr>
    </w:tbl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Рост в 2014 году доходной части бюджета муниципального района, главным образом, обусловлен увеличением безвозмездных поступлений на сумму 4359,9 тыс. рублей, в том числе, субвенций в сумме 3194,4 тыс. рублей, субсидий в сумме 1129,3 тыс. рублей.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Кроме того, предлагается: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уменьшить план по возврату остатков субсидий и субвенций прошлых лет, подлежащих перечислению в областной бюджет на 681,5 тыс. рублей, так как Департамент по жилищно-коммунальному хозяйству и топливно-энергетическому комплексу Новгородской области возвратил в бюджет муниципального района субсидию, перечисленную в январе 2014 года в областной бюджет, в целях продолжения капитального ремонта канализационной насосной станции;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- увеличить межбюджетные трансферты, передаваемые бюджету муниципального района из бюджета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на осуществление части полномочий по решению вопросов местного значения в соответствии с заключенными соглашениями на 2014 год на 35,9 тыс. рублей, на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софинансирование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субсидии, возвращенной бюджету муниципального района для продолжения капитального ремонта канализационной насосной станции.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В связи с  увеличением  численности  органов местного самоуправления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Полавскому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сельскому поселению на 1 штатную единицу  и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Федорковскому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сельскому поселению  на 3 штатных единицы предлагается внести изменение в распределение межбюджетных трансфертов, передаваемых бюджету </w:t>
      </w: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lastRenderedPageBreak/>
        <w:t xml:space="preserve">муниципального района из бюджетов поселений на осуществление части полномочий по решению вопросов местного значения, а именно, уменьшить межбюджетные трансферты, получаемые из бюджета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на 83,0 тыс. рублей,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Полавского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15,7 тыс. рублей и увеличить от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на 98,7 тыс. рублей на 2014-2016 годы ежегодно. Данное перераспределение соответствует решениям Советов депутатов поселений, утвержденным в феврале  текущего года.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Изменение налоговых и неналоговых доходов бюджета муниципального района не планируется.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Изменения расходной части бюджета  в разрезе функциональной классификации на 2014 год характеризуется следующими данными (Таблица 3):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3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тыс. рублей</w:t>
      </w:r>
    </w:p>
    <w:tbl>
      <w:tblPr>
        <w:tblW w:w="510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319"/>
        <w:gridCol w:w="898"/>
        <w:gridCol w:w="1800"/>
        <w:gridCol w:w="1589"/>
        <w:gridCol w:w="1602"/>
        <w:gridCol w:w="854"/>
        <w:gridCol w:w="1194"/>
        <w:gridCol w:w="854"/>
        <w:gridCol w:w="1194"/>
      </w:tblGrid>
      <w:tr w:rsidR="00C331D7" w:rsidRPr="00C331D7" w:rsidTr="00C331D7">
        <w:tc>
          <w:tcPr>
            <w:tcW w:w="90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 отрасли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Первоначальный бюджет</w:t>
            </w:r>
          </w:p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 2014 год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Утвержденный</w:t>
            </w:r>
          </w:p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бюджет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</w:t>
            </w:r>
          </w:p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проект</w:t>
            </w:r>
          </w:p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решения</w:t>
            </w:r>
          </w:p>
        </w:tc>
        <w:tc>
          <w:tcPr>
            <w:tcW w:w="11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Изменения проекта решения от первоначального бюджета</w:t>
            </w:r>
          </w:p>
        </w:tc>
        <w:tc>
          <w:tcPr>
            <w:tcW w:w="1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Изменения проекта решения от утвержденного бюджета</w:t>
            </w:r>
          </w:p>
        </w:tc>
      </w:tr>
      <w:tr w:rsidR="00C331D7" w:rsidRPr="00C331D7" w:rsidTr="00C331D7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сумме (гр.5 – гр.3)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в процентах (гр.5 / гр.3)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сумме (гр.5 – гр.4)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в процентах (гр.5 / гр.4)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Общегосударственные</w:t>
            </w:r>
          </w:p>
          <w:p w:rsidR="00C331D7" w:rsidRPr="00C331D7" w:rsidRDefault="00C331D7" w:rsidP="00C331D7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вопросы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35105,9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35069,4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35069,4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-36,5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694,2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694,2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680,7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-13,5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98,1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102,1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102,1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102,1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Национальная</w:t>
            </w:r>
          </w:p>
          <w:p w:rsidR="00C331D7" w:rsidRPr="00C331D7" w:rsidRDefault="00C331D7" w:rsidP="00C331D7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экономика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13476,1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13512,6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13512,6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36,5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100,3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81932,3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81932,3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82649,7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717,4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100,90,0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717,4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100,9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Образование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149174,5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149358,0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150371,0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1196,5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100,8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1013,0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100,7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28265,5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27674,0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28026,3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-239,2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352,3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101,3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85860,2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85256,0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88456,7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2596,5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103,0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3200,7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103,8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510,8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510,8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510,8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Межбюджетные</w:t>
            </w:r>
          </w:p>
          <w:p w:rsidR="00C331D7" w:rsidRPr="00C331D7" w:rsidRDefault="00C331D7" w:rsidP="00C331D7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трансферты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13406,7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14097,7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14097,7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691,0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105,2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409168,3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408847,1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414117,0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4948,7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101,2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5269,9</w:t>
            </w:r>
          </w:p>
        </w:tc>
        <w:tc>
          <w:tcPr>
            <w:tcW w:w="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102,6</w:t>
            </w:r>
          </w:p>
        </w:tc>
      </w:tr>
    </w:tbl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 Уменьшение расходов в 2014 году по отрасли «Национальная оборона» до 98,1 процента планируется в связи с сокращением объема субвенции на осуществление первичного воинского учета на территориях, где отсутствуют военные комиссариаты.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Рост расходов по отраслям «Жилищно-коммунальное хозяйство», «Образование», «Социальная политика» обусловлен выделением средств  из  других бюджетов бюджетной системы.  На увеличение расходов по отрасли «Культура, кинематография» повлияло выделение субсидий из областного бюджета  и средств бюджета муниципального района, которые планируется направить на ремонт здания муниципального бюджетного образовательного учреждения дополнительного образования детей «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Парфинская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детская школа искусств» расположенного в п. Пола, ул. Строительная, д.5 (бывшее здание Дома ремесел и фольклора) в сумме 236,0 тыс. рублей.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Ведомственная структура расходов в 2014 году характеризуется следующими данными: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 (тыс. рублей)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964"/>
        <w:gridCol w:w="879"/>
        <w:gridCol w:w="1430"/>
        <w:gridCol w:w="1749"/>
        <w:gridCol w:w="1763"/>
        <w:gridCol w:w="1090"/>
        <w:gridCol w:w="1314"/>
        <w:gridCol w:w="1090"/>
        <w:gridCol w:w="1314"/>
      </w:tblGrid>
      <w:tr w:rsidR="00C331D7" w:rsidRPr="00C331D7" w:rsidTr="00C331D7">
        <w:tc>
          <w:tcPr>
            <w:tcW w:w="17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 ведомства</w:t>
            </w:r>
          </w:p>
        </w:tc>
        <w:tc>
          <w:tcPr>
            <w:tcW w:w="7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Глава</w:t>
            </w:r>
          </w:p>
        </w:tc>
        <w:tc>
          <w:tcPr>
            <w:tcW w:w="1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proofErr w:type="spellStart"/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Первона-чальные</w:t>
            </w:r>
            <w:proofErr w:type="spellEnd"/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бюджет-ные</w:t>
            </w:r>
            <w:proofErr w:type="spellEnd"/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 xml:space="preserve"> назначения</w:t>
            </w:r>
          </w:p>
        </w:tc>
        <w:tc>
          <w:tcPr>
            <w:tcW w:w="12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Утвержденный бюджет (от 26.02.2014 №214)</w:t>
            </w:r>
          </w:p>
        </w:tc>
        <w:tc>
          <w:tcPr>
            <w:tcW w:w="11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1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предлагаемого проекта решения от первоначальных бюджетных назначений</w:t>
            </w:r>
          </w:p>
        </w:tc>
        <w:tc>
          <w:tcPr>
            <w:tcW w:w="18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предлагаемого проекта решения от утвержденного бюджета</w:t>
            </w:r>
          </w:p>
        </w:tc>
      </w:tr>
      <w:tr w:rsidR="00C331D7" w:rsidRPr="00C331D7" w:rsidTr="00C331D7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C331D7" w:rsidRPr="00C331D7" w:rsidRDefault="00C331D7" w:rsidP="00C331D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сумме (гр.5 - гр.3)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процентах (гр.5 / гр.3)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сумме (гр.5 - гр.4)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 процентах (гр.5 / гр.4)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Администрация муниципального района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603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34001,2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34568,3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35285,7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1284,5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103,8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717,4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102,1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Управление сельского хозяйства муниципального района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782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1928,1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1964,6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1964,6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36,5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101,9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Комитет финансов муниципального района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792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110269,5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110357,0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110343,5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74,0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-13,5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99,98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Отдел образования муниципального района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774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161887,3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160884,8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164841,9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2954,6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101,8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3957,1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102,5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Комитет культуры и спорта муниципального района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757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42584,3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42584,3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43193,2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608,9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101,4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608,9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101,4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Комитет по труду и социальной защите населения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761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58497,9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58488,1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58488,1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-9,8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99,98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C331D7" w:rsidRPr="00C331D7" w:rsidTr="00C331D7"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409168,3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408847,1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414117,0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4948,7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101,2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5269,9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C331D7" w:rsidRPr="00C331D7" w:rsidRDefault="00C331D7" w:rsidP="00C331D7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C331D7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101,3</w:t>
            </w:r>
          </w:p>
        </w:tc>
      </w:tr>
    </w:tbl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Удельный вес условно утверждаемых расходов (расходов, распределение которых будет производиться к началу каждого года планового периода 2014 и 2015 годов) не противоречит требованиям статьи 184.1 Бюджетного кодекса Российской Федерации.</w:t>
      </w:r>
    </w:p>
    <w:p w:rsidR="00C331D7" w:rsidRPr="00C331D7" w:rsidRDefault="00C331D7" w:rsidP="00C331D7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  Представленный на рассмотрение проект решения не противоречит требованиям законодательства, определенным Бюджетным кодексом Российской Федерации, Положением о бюджетном процессе в </w:t>
      </w:r>
      <w:proofErr w:type="spellStart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Парфинском</w:t>
      </w:r>
      <w:proofErr w:type="spellEnd"/>
      <w:r w:rsidRPr="00C331D7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муниципальном районе. Контрольно-счетная палата муниципального района считает возможным предложить Думе муниципального района  утвердить проект решения в предложенной редакции.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Председатель Контрольно-счетной палаты</w:t>
      </w:r>
    </w:p>
    <w:p w:rsidR="00C331D7" w:rsidRPr="00C331D7" w:rsidRDefault="00C331D7" w:rsidP="00C331D7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C331D7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муниципального района                                                      Е.В.    Сорокина</w:t>
      </w:r>
    </w:p>
    <w:p w:rsidR="00771C43" w:rsidRPr="00C331D7" w:rsidRDefault="00771C43" w:rsidP="00C331D7"/>
    <w:sectPr w:rsidR="00771C43" w:rsidRPr="00C331D7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024A71"/>
    <w:rsid w:val="0023360F"/>
    <w:rsid w:val="00635D2C"/>
    <w:rsid w:val="00771C43"/>
    <w:rsid w:val="007815C0"/>
    <w:rsid w:val="008B6A81"/>
    <w:rsid w:val="00B77906"/>
    <w:rsid w:val="00C331D7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9297</Characters>
  <Application>Microsoft Office Word</Application>
  <DocSecurity>0</DocSecurity>
  <Lines>77</Lines>
  <Paragraphs>21</Paragraphs>
  <ScaleCrop>false</ScaleCrop>
  <Company>Microsoft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2019-12-17T13:12:00Z</dcterms:created>
  <dcterms:modified xsi:type="dcterms:W3CDTF">2019-12-17T13:12:00Z</dcterms:modified>
</cp:coreProperties>
</file>