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 </w:t>
      </w:r>
    </w:p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AB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="00F13535"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Pr="0081516C">
        <w:rPr>
          <w:rFonts w:ascii="Times New Roman" w:hAnsi="Times New Roman" w:cs="Times New Roman"/>
          <w:b/>
          <w:sz w:val="28"/>
          <w:szCs w:val="28"/>
        </w:rPr>
        <w:t>I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0214B">
        <w:rPr>
          <w:rFonts w:ascii="Times New Roman" w:hAnsi="Times New Roman" w:cs="Times New Roman"/>
          <w:b/>
          <w:sz w:val="28"/>
          <w:szCs w:val="28"/>
        </w:rPr>
        <w:t>2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343C" w:rsidRDefault="005E343C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13535" w:rsidRPr="00F13535">
        <w:rPr>
          <w:rFonts w:ascii="Times New Roman" w:hAnsi="Times New Roman" w:cs="Times New Roman"/>
          <w:sz w:val="28"/>
          <w:szCs w:val="28"/>
        </w:rPr>
        <w:t>I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13535"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на 1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или на 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больше, чем во </w:t>
      </w:r>
      <w:r w:rsidR="00F1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F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граждане активно пользуются возможностью для направления обращений в электронном виде, в том числе через интернет-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приемную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3664DE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A4164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количество обращений в Администрацию муниципального района поступает от жителей </w:t>
      </w:r>
      <w:proofErr w:type="spellStart"/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</w:t>
      </w:r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поселения, это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обращений, что составило 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 </w:t>
      </w:r>
    </w:p>
    <w:p w:rsidR="0081516C" w:rsidRPr="001F0D3F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отчетном периоде обращения поступили от жителей </w:t>
      </w:r>
      <w:proofErr w:type="spellStart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12 обращений (1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 жителей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1F0D3F"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жителями других регионов России 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1F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процента).</w:t>
      </w:r>
      <w:proofErr w:type="gramEnd"/>
    </w:p>
    <w:p w:rsidR="0081516C" w:rsidRPr="001F0D3F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Коллективных обращений граждан поступило </w:t>
      </w:r>
      <w:r w:rsidR="001F0D3F" w:rsidRPr="003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F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количества обращений граждан.</w:t>
      </w:r>
    </w:p>
    <w:p w:rsidR="0081516C" w:rsidRDefault="00F165C6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A2C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A2C9E">
        <w:rPr>
          <w:rFonts w:ascii="Times New Roman" w:hAnsi="Times New Roman" w:cs="Times New Roman"/>
          <w:sz w:val="28"/>
          <w:szCs w:val="28"/>
        </w:rPr>
        <w:t>I</w:t>
      </w:r>
      <w:r w:rsidRPr="000A2C9E"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квартале 202</w:t>
      </w:r>
      <w:r w:rsid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1516C"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ематика актуальных вопросов</w:t>
      </w:r>
      <w:r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по-прежнему </w:t>
      </w:r>
      <w:r w:rsid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являлись следующими</w:t>
      </w:r>
      <w:r w:rsidR="0081516C" w:rsidRPr="000A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процента), из них преобладающее количество обращений поступило по вопросам водоснабжения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благоустройству – </w:t>
      </w:r>
      <w:r w:rsidR="00EB118C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вопросу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прочистки и углубления канав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214B" w:rsidRPr="00EB118C" w:rsidRDefault="0050214B" w:rsidP="0050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дорожной деятельности – 11 (12,3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0214B" w:rsidRPr="00EB118C" w:rsidRDefault="0050214B" w:rsidP="0050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места захоронения родственников, погибших в </w:t>
      </w:r>
      <w:proofErr w:type="spellStart"/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Парфинском</w:t>
      </w:r>
      <w:proofErr w:type="spellEnd"/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годы Великой Отечественной войны 1941-1945 гг.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жилищному вопросу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10,1 процент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D7F3B" w:rsidRPr="00EB118C" w:rsidRDefault="004D7F3B" w:rsidP="004D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вопросы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процента);</w:t>
      </w:r>
    </w:p>
    <w:p w:rsidR="0081516C" w:rsidRPr="00EB118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вопросы – 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0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10,1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процент).</w:t>
      </w:r>
    </w:p>
    <w:p w:rsidR="0081516C" w:rsidRPr="00442A28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Любые вопросы, с которыми граждане обращаются в органы власти, не остаются без внимания.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</w:t>
      </w:r>
      <w:r w:rsidRP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рассматривались</w:t>
      </w:r>
      <w:r w:rsidR="004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законом сроки.</w:t>
      </w:r>
    </w:p>
    <w:p w:rsidR="0050214B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50214B" w:rsidRDefault="00502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14B" w:rsidRDefault="0050214B" w:rsidP="0050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4B" w:rsidRDefault="0050214B" w:rsidP="0050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III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16C" w:rsidRPr="0081516C" w:rsidRDefault="0050214B" w:rsidP="0050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4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306705</wp:posOffset>
            </wp:positionV>
            <wp:extent cx="5934075" cy="3911600"/>
            <wp:effectExtent l="19050" t="0" r="9525" b="0"/>
            <wp:wrapThrough wrapText="bothSides">
              <wp:wrapPolygon edited="0">
                <wp:start x="-69" y="0"/>
                <wp:lineTo x="-69" y="21565"/>
                <wp:lineTo x="21635" y="21565"/>
                <wp:lineTo x="21635" y="0"/>
                <wp:lineTo x="-69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1516C" w:rsidRPr="0081516C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D55"/>
    <w:rsid w:val="00002A02"/>
    <w:rsid w:val="00023F26"/>
    <w:rsid w:val="00035909"/>
    <w:rsid w:val="000464AA"/>
    <w:rsid w:val="000A2C9E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D3F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B47AE"/>
    <w:rsid w:val="002D1720"/>
    <w:rsid w:val="002E4FB9"/>
    <w:rsid w:val="002E77BB"/>
    <w:rsid w:val="0030005E"/>
    <w:rsid w:val="003664DE"/>
    <w:rsid w:val="00377EA5"/>
    <w:rsid w:val="003917E7"/>
    <w:rsid w:val="00396100"/>
    <w:rsid w:val="00396D55"/>
    <w:rsid w:val="003D1BF4"/>
    <w:rsid w:val="003E5783"/>
    <w:rsid w:val="003F5971"/>
    <w:rsid w:val="00401630"/>
    <w:rsid w:val="00442A28"/>
    <w:rsid w:val="00476113"/>
    <w:rsid w:val="004A59B1"/>
    <w:rsid w:val="004B08DF"/>
    <w:rsid w:val="004B484F"/>
    <w:rsid w:val="004C29B7"/>
    <w:rsid w:val="004D7F3B"/>
    <w:rsid w:val="004E0187"/>
    <w:rsid w:val="0050214B"/>
    <w:rsid w:val="005071FD"/>
    <w:rsid w:val="00532CC0"/>
    <w:rsid w:val="00570A56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E4A2C"/>
    <w:rsid w:val="0080152F"/>
    <w:rsid w:val="008131A4"/>
    <w:rsid w:val="0081516C"/>
    <w:rsid w:val="0082186D"/>
    <w:rsid w:val="00850058"/>
    <w:rsid w:val="008A78F1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36A2"/>
    <w:rsid w:val="009F6C8D"/>
    <w:rsid w:val="00A2078D"/>
    <w:rsid w:val="00A62B96"/>
    <w:rsid w:val="00A668E0"/>
    <w:rsid w:val="00A83F84"/>
    <w:rsid w:val="00B032ED"/>
    <w:rsid w:val="00B229CB"/>
    <w:rsid w:val="00B31ED1"/>
    <w:rsid w:val="00B34D91"/>
    <w:rsid w:val="00B514A0"/>
    <w:rsid w:val="00B817CD"/>
    <w:rsid w:val="00BA385B"/>
    <w:rsid w:val="00BB09A3"/>
    <w:rsid w:val="00BE0EEC"/>
    <w:rsid w:val="00BE7DDF"/>
    <w:rsid w:val="00C142D0"/>
    <w:rsid w:val="00C241E3"/>
    <w:rsid w:val="00C36A0D"/>
    <w:rsid w:val="00CA2998"/>
    <w:rsid w:val="00CA772C"/>
    <w:rsid w:val="00D57D9F"/>
    <w:rsid w:val="00D771DD"/>
    <w:rsid w:val="00D82C05"/>
    <w:rsid w:val="00D93C79"/>
    <w:rsid w:val="00DA4164"/>
    <w:rsid w:val="00DA5F55"/>
    <w:rsid w:val="00DF4A28"/>
    <w:rsid w:val="00E20D2B"/>
    <w:rsid w:val="00E22391"/>
    <w:rsid w:val="00E45747"/>
    <w:rsid w:val="00E57320"/>
    <w:rsid w:val="00E62CB0"/>
    <w:rsid w:val="00E839C6"/>
    <w:rsid w:val="00EB118C"/>
    <w:rsid w:val="00EC51AA"/>
    <w:rsid w:val="00F07C74"/>
    <w:rsid w:val="00F13535"/>
    <w:rsid w:val="00F165C6"/>
    <w:rsid w:val="00F45DE2"/>
    <w:rsid w:val="00F66C26"/>
    <w:rsid w:val="00F7129E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2\&#1048;&#1058;&#1054;&#1043;&#1048;\2022\&#1087;&#1086;%20&#1082;&#1074;&#1072;&#1088;&#1090;&#1072;&#1083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1178716296826526E-2"/>
          <c:y val="0.18767076587336695"/>
          <c:w val="0.91937007874015753"/>
          <c:h val="0.6976871037187766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873733479944219E-3"/>
                  <c:y val="-1.7225943347990592E-2"/>
                </c:manualLayout>
              </c:layout>
              <c:tx>
                <c:rich>
                  <a:bodyPr/>
                  <a:lstStyle/>
                  <a:p>
                    <a:r>
                      <a:rPr lang="ru-RU" sz="2000" b="1" i="0" u="none" strike="noStrike" kern="12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73</a:t>
                    </a:r>
                  </a:p>
                </c:rich>
              </c:tx>
            </c:dLbl>
            <c:dLbl>
              <c:idx val="1"/>
              <c:layout>
                <c:manualLayout>
                  <c:x val="3.8777737052531356E-3"/>
                  <c:y val="-1.6975406483280497E-2"/>
                </c:manualLayout>
              </c:layout>
              <c:showVal val="1"/>
            </c:dLbl>
            <c:dLbl>
              <c:idx val="2"/>
              <c:layout>
                <c:manualLayout>
                  <c:x val="1.5362124678235446E-3"/>
                  <c:y val="-2.1465385008692096E-2"/>
                </c:manualLayout>
              </c:layout>
              <c:showVal val="1"/>
            </c:dLbl>
            <c:dLbl>
              <c:idx val="6"/>
              <c:layout>
                <c:manualLayout>
                  <c:x val="7.8472430380091133E-17"/>
                  <c:y val="-1.948051948051948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2.5974025974025976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4.2207792207792208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2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TDSheet!$C$4:$C$12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TDSheet!$D$4:$D$12</c:f>
              <c:numCache>
                <c:formatCode>General</c:formatCode>
                <c:ptCount val="9"/>
                <c:pt idx="0">
                  <c:v>21</c:v>
                </c:pt>
                <c:pt idx="1">
                  <c:v>14</c:v>
                </c:pt>
                <c:pt idx="2">
                  <c:v>13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25</c:v>
                </c:pt>
                <c:pt idx="7">
                  <c:v>30</c:v>
                </c:pt>
                <c:pt idx="8">
                  <c:v>34</c:v>
                </c:pt>
              </c:numCache>
            </c:numRef>
          </c:val>
        </c:ser>
        <c:dLbls>
          <c:showVal val="1"/>
        </c:dLbls>
        <c:shape val="cylinder"/>
        <c:axId val="122706176"/>
        <c:axId val="122720256"/>
        <c:axId val="0"/>
      </c:bar3DChart>
      <c:catAx>
        <c:axId val="122706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720256"/>
        <c:crosses val="autoZero"/>
        <c:auto val="1"/>
        <c:lblAlgn val="ctr"/>
        <c:lblOffset val="100"/>
      </c:catAx>
      <c:valAx>
        <c:axId val="1227202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2706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89FB-C296-4840-B98E-36A15A9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45</cp:revision>
  <cp:lastPrinted>2020-07-07T12:03:00Z</cp:lastPrinted>
  <dcterms:created xsi:type="dcterms:W3CDTF">2015-11-20T06:17:00Z</dcterms:created>
  <dcterms:modified xsi:type="dcterms:W3CDTF">2022-11-16T15:01:00Z</dcterms:modified>
</cp:coreProperties>
</file>