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Методические рекомендации для применения в ходе декларационной кампании 2017 г. (за отчетный 2016 г.)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ходе использования в работе Методических рекомендаций предлагаем обратить внимание на следующее.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пункте 15 Методических рекомендаций отмечается, что перевод служащего в другой государственный орган в период с 1 января по 1(30) апреля 2017 г. не освобождает его от обязанности представить сведения в соответствующее структурное подразделение  государственного органа, в котором он замещал должность 31 декабря 2016 г.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Пунктом 34 Методических рекомендаций отмечено, что 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абзаце втором подпункта 1 пункта 35 Методических рекомендаций указан порядок представления сведений в отношении несовершеннолетнего ребенка, не достигшего 14-летнего возраста, а в подпункте 3 – порядок представления сведений гражданином, не осуществляющим трудовую деятельность.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пункте 53 Методических рекомендаций расширены виды доходов, которые могут быть указаны в строке 6 «Иные доходы» раздела 1 справки. Также дополнен перечень видов доходов, которые не подлежат указанию (пункт 55).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lastRenderedPageBreak/>
        <w:t>Пунктами 57 и 61 Методических рекомендаций уточнены случаи, при которых раздел 2 «Сведения о расходах» справки не заполняется.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Пункт 76 Методических рекомендаций дополнен видами недвижимого имущества, которые не подлежат указанию в разделе 3 справки.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пункте 89 Методических рекомендаций представлен пример отражения в графе «Основание приобретения и источники средств» раздела 3 справки правоустанавливающего документа 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пункте 97 Методических рекомендаций указан порядок заполнения подраздела 3.2 раздела 3 справки при наличии водного и воздушного транспорта.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Пункт 99 Методических рекомендаций посвящен отражению информации о счетах (вкладах) в иностранных банках, расположенных за пределами Российской Федерации, в разделе 4 справки (с рекомендацией приложить соответствующее заявление к справке). При этом в пункте 101 отмечено, что не подлежит указанию специальный избирательный счет.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такого капитала.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Расширен перечень ситуаций, при которых объект недвижимого имущества указывается в подразделе 6.1 раздела 6 справки (пункт 131).</w:t>
      </w:r>
    </w:p>
    <w:p w:rsidR="00A11964" w:rsidRDefault="00A11964" w:rsidP="00A1196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пункте 144 Методических рекомендаций приведен пример ситуации, при которой финансовое обязательство не подлежит указанию в подразделе 6.2  раздела 6 справки.</w:t>
      </w:r>
    </w:p>
    <w:p w:rsidR="00D85940" w:rsidRPr="00A11964" w:rsidRDefault="00D85940" w:rsidP="00A11964"/>
    <w:sectPr w:rsidR="00D85940" w:rsidRPr="00A11964" w:rsidSect="00D8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F0624"/>
    <w:rsid w:val="009F0624"/>
    <w:rsid w:val="00A11964"/>
    <w:rsid w:val="00D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40"/>
  </w:style>
  <w:style w:type="paragraph" w:styleId="1">
    <w:name w:val="heading 1"/>
    <w:basedOn w:val="a"/>
    <w:link w:val="10"/>
    <w:uiPriority w:val="9"/>
    <w:qFormat/>
    <w:rsid w:val="009F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2020-01-15T06:57:00Z</dcterms:created>
  <dcterms:modified xsi:type="dcterms:W3CDTF">2020-01-15T06:57:00Z</dcterms:modified>
</cp:coreProperties>
</file>